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0C2DE" w14:textId="77777777" w:rsidR="00FC1164" w:rsidRDefault="00FC1164" w:rsidP="00FC1164">
      <w:pPr>
        <w:jc w:val="center"/>
        <w:rPr>
          <w:rFonts w:cstheme="minorHAnsi"/>
          <w:b/>
          <w:color w:val="1E286E"/>
          <w:sz w:val="32"/>
          <w:szCs w:val="32"/>
        </w:rPr>
      </w:pPr>
      <w:r>
        <w:rPr>
          <w:rFonts w:cstheme="minorHAnsi"/>
          <w:b/>
          <w:noProof/>
          <w:color w:val="1E286E"/>
          <w:sz w:val="32"/>
          <w:szCs w:val="32"/>
        </w:rPr>
        <w:drawing>
          <wp:inline distT="0" distB="0" distL="0" distR="0" wp14:anchorId="27E76CF9" wp14:editId="744C54AF">
            <wp:extent cx="1529276" cy="99568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547849" cy="1007773"/>
                    </a:xfrm>
                    <a:prstGeom prst="rect">
                      <a:avLst/>
                    </a:prstGeom>
                  </pic:spPr>
                </pic:pic>
              </a:graphicData>
            </a:graphic>
          </wp:inline>
        </w:drawing>
      </w:r>
    </w:p>
    <w:p w14:paraId="2167C651" w14:textId="77777777" w:rsidR="00FC1164" w:rsidRPr="004B5A76" w:rsidRDefault="00FC1164" w:rsidP="004B5A76">
      <w:pPr>
        <w:pStyle w:val="lead"/>
        <w:spacing w:before="0" w:beforeAutospacing="0"/>
        <w:jc w:val="center"/>
        <w:rPr>
          <w:rFonts w:asciiTheme="minorHAnsi" w:hAnsiTheme="minorHAnsi" w:cstheme="minorHAnsi"/>
          <w:b/>
          <w:color w:val="002060"/>
          <w:sz w:val="32"/>
          <w:szCs w:val="32"/>
        </w:rPr>
      </w:pPr>
      <w:r w:rsidRPr="004B5A76">
        <w:rPr>
          <w:rFonts w:asciiTheme="minorHAnsi" w:hAnsiTheme="minorHAnsi" w:cstheme="minorHAnsi"/>
          <w:b/>
          <w:color w:val="002060"/>
          <w:sz w:val="32"/>
          <w:szCs w:val="32"/>
        </w:rPr>
        <w:t>Toolkit Case Study of Practice:</w:t>
      </w:r>
    </w:p>
    <w:p w14:paraId="3C733DCC" w14:textId="77777777" w:rsidR="004B5A76" w:rsidRDefault="004B5A76" w:rsidP="004B5A76">
      <w:pPr>
        <w:pStyle w:val="lead"/>
        <w:spacing w:before="0" w:beforeAutospacing="0"/>
        <w:jc w:val="center"/>
        <w:rPr>
          <w:rFonts w:asciiTheme="minorHAnsi" w:hAnsiTheme="minorHAnsi" w:cstheme="minorHAnsi"/>
          <w:b/>
          <w:bCs/>
          <w:color w:val="002060"/>
        </w:rPr>
      </w:pPr>
      <w:r w:rsidRPr="004B5A76">
        <w:rPr>
          <w:rFonts w:asciiTheme="minorHAnsi" w:hAnsiTheme="minorHAnsi" w:cstheme="minorHAnsi"/>
          <w:b/>
          <w:bCs/>
          <w:color w:val="002060"/>
        </w:rPr>
        <w:t xml:space="preserve">Utilising NTG mapping templates to support quality assurance audits: </w:t>
      </w:r>
    </w:p>
    <w:p w14:paraId="1DA92595" w14:textId="5B4D383C" w:rsidR="00FC1164" w:rsidRPr="004B5A76" w:rsidRDefault="00FC1164" w:rsidP="004B5A76">
      <w:pPr>
        <w:pStyle w:val="lead"/>
        <w:spacing w:before="0" w:beforeAutospacing="0"/>
        <w:jc w:val="center"/>
        <w:rPr>
          <w:rFonts w:asciiTheme="minorHAnsi" w:hAnsiTheme="minorHAnsi" w:cstheme="minorHAnsi"/>
          <w:b/>
          <w:bCs/>
          <w:color w:val="002060"/>
        </w:rPr>
      </w:pPr>
      <w:r w:rsidRPr="004B5A76">
        <w:rPr>
          <w:rFonts w:asciiTheme="minorHAnsi" w:hAnsiTheme="minorHAnsi" w:cstheme="minorHAnsi"/>
          <w:b/>
          <w:bCs/>
          <w:color w:val="002060"/>
        </w:rPr>
        <w:t xml:space="preserve">Qualification Wales </w:t>
      </w:r>
      <w:r w:rsidR="004B5A76" w:rsidRPr="004B5A76">
        <w:rPr>
          <w:rFonts w:asciiTheme="minorHAnsi" w:hAnsiTheme="minorHAnsi" w:cstheme="minorHAnsi"/>
          <w:b/>
          <w:bCs/>
          <w:color w:val="002060"/>
        </w:rPr>
        <w:t>Travel, Tourism, Hospitality and Catering Qualification Review</w:t>
      </w:r>
    </w:p>
    <w:p w14:paraId="37E7572B" w14:textId="32A27682" w:rsidR="00BF179C" w:rsidRPr="00BF179C" w:rsidRDefault="00BF179C" w:rsidP="002B3106">
      <w:pPr>
        <w:pStyle w:val="lead"/>
        <w:spacing w:before="0" w:beforeAutospacing="0"/>
        <w:jc w:val="both"/>
        <w:rPr>
          <w:rFonts w:asciiTheme="minorHAnsi" w:hAnsiTheme="minorHAnsi" w:cstheme="minorHAnsi"/>
          <w:b/>
          <w:bCs/>
        </w:rPr>
      </w:pPr>
      <w:r w:rsidRPr="00BF179C">
        <w:rPr>
          <w:rFonts w:asciiTheme="minorHAnsi" w:hAnsiTheme="minorHAnsi" w:cstheme="minorHAnsi"/>
          <w:b/>
          <w:bCs/>
        </w:rPr>
        <w:t xml:space="preserve">1/ Organisation Name and brief explanation of the purpose. </w:t>
      </w:r>
    </w:p>
    <w:p w14:paraId="62E3D4A1" w14:textId="0943A818" w:rsidR="00BF179C" w:rsidRPr="008B12DA" w:rsidRDefault="00BF179C" w:rsidP="002B3106">
      <w:pPr>
        <w:pStyle w:val="lead"/>
        <w:spacing w:before="0" w:beforeAutospacing="0"/>
        <w:jc w:val="both"/>
        <w:rPr>
          <w:rFonts w:asciiTheme="minorHAnsi" w:hAnsiTheme="minorHAnsi" w:cstheme="minorHAnsi"/>
        </w:rPr>
      </w:pPr>
      <w:r w:rsidRPr="008B12DA">
        <w:rPr>
          <w:rFonts w:asciiTheme="minorHAnsi" w:hAnsiTheme="minorHAnsi" w:cstheme="minorHAnsi"/>
        </w:rPr>
        <w:t xml:space="preserve">Qualification Wales is a regulatory independent statutory body funded by Welsh Government who regulate </w:t>
      </w:r>
      <w:r w:rsidR="007A7D5C" w:rsidRPr="008B12DA">
        <w:rPr>
          <w:rFonts w:asciiTheme="minorHAnsi" w:hAnsiTheme="minorHAnsi" w:cstheme="minorHAnsi"/>
        </w:rPr>
        <w:t>qualifications</w:t>
      </w:r>
      <w:r w:rsidR="009B38E1" w:rsidRPr="008B12DA">
        <w:rPr>
          <w:rFonts w:asciiTheme="minorHAnsi" w:hAnsiTheme="minorHAnsi" w:cstheme="minorHAnsi"/>
        </w:rPr>
        <w:t xml:space="preserve"> and their standards,</w:t>
      </w:r>
      <w:r w:rsidRPr="008B12DA">
        <w:rPr>
          <w:rFonts w:asciiTheme="minorHAnsi" w:hAnsiTheme="minorHAnsi" w:cstheme="minorHAnsi"/>
        </w:rPr>
        <w:t xml:space="preserve"> </w:t>
      </w:r>
      <w:r w:rsidR="008B12DA" w:rsidRPr="008B12DA">
        <w:rPr>
          <w:rFonts w:asciiTheme="minorHAnsi" w:hAnsiTheme="minorHAnsi" w:cstheme="minorHAnsi"/>
        </w:rPr>
        <w:t>developed,</w:t>
      </w:r>
      <w:r w:rsidRPr="008B12DA">
        <w:rPr>
          <w:rFonts w:asciiTheme="minorHAnsi" w:hAnsiTheme="minorHAnsi" w:cstheme="minorHAnsi"/>
        </w:rPr>
        <w:t xml:space="preserve"> and delivered by the </w:t>
      </w:r>
      <w:r w:rsidR="007A7D5C" w:rsidRPr="008B12DA">
        <w:rPr>
          <w:rFonts w:asciiTheme="minorHAnsi" w:hAnsiTheme="minorHAnsi" w:cstheme="minorHAnsi"/>
        </w:rPr>
        <w:t xml:space="preserve">recognised </w:t>
      </w:r>
      <w:r w:rsidRPr="008B12DA">
        <w:rPr>
          <w:rFonts w:asciiTheme="minorHAnsi" w:hAnsiTheme="minorHAnsi" w:cstheme="minorHAnsi"/>
        </w:rPr>
        <w:t>awarding bodies</w:t>
      </w:r>
      <w:r w:rsidR="007A7D5C" w:rsidRPr="008B12DA">
        <w:rPr>
          <w:rFonts w:asciiTheme="minorHAnsi" w:hAnsiTheme="minorHAnsi" w:cstheme="minorHAnsi"/>
        </w:rPr>
        <w:t xml:space="preserve">. </w:t>
      </w:r>
      <w:r w:rsidRPr="008B12DA">
        <w:rPr>
          <w:rFonts w:asciiTheme="minorHAnsi" w:hAnsiTheme="minorHAnsi" w:cstheme="minorHAnsi"/>
        </w:rPr>
        <w:t xml:space="preserve"> </w:t>
      </w:r>
      <w:r w:rsidR="007A7D5C" w:rsidRPr="008B12DA">
        <w:rPr>
          <w:rFonts w:asciiTheme="minorHAnsi" w:hAnsiTheme="minorHAnsi" w:cstheme="minorHAnsi"/>
        </w:rPr>
        <w:t xml:space="preserve">Working with a wide range of organisations Qualification Wales monitors the compliance of awarding bodies, reviews existing </w:t>
      </w:r>
      <w:r w:rsidR="008B12DA" w:rsidRPr="008B12DA">
        <w:rPr>
          <w:rFonts w:asciiTheme="minorHAnsi" w:hAnsiTheme="minorHAnsi" w:cstheme="minorHAnsi"/>
        </w:rPr>
        <w:t>qualifications,</w:t>
      </w:r>
      <w:r w:rsidR="007A7D5C" w:rsidRPr="008B12DA">
        <w:rPr>
          <w:rFonts w:asciiTheme="minorHAnsi" w:hAnsiTheme="minorHAnsi" w:cstheme="minorHAnsi"/>
        </w:rPr>
        <w:t xml:space="preserve"> and oversees the design of new requirements to support the qualifications system and ensure that qualifications meet learners and practitioners needs.  </w:t>
      </w:r>
    </w:p>
    <w:p w14:paraId="585A3035" w14:textId="038C7B67" w:rsidR="002B3106" w:rsidRPr="008B12DA" w:rsidRDefault="002B3106" w:rsidP="002B3106">
      <w:pPr>
        <w:pStyle w:val="lead"/>
        <w:spacing w:before="0" w:beforeAutospacing="0"/>
        <w:jc w:val="both"/>
        <w:rPr>
          <w:rFonts w:asciiTheme="minorHAnsi" w:hAnsiTheme="minorHAnsi" w:cstheme="minorHAnsi"/>
        </w:rPr>
      </w:pPr>
      <w:r w:rsidRPr="008B12DA">
        <w:rPr>
          <w:rFonts w:asciiTheme="minorHAnsi" w:hAnsiTheme="minorHAnsi" w:cstheme="minorHAnsi"/>
        </w:rPr>
        <w:t xml:space="preserve">In Wales in September 2020 the Tourism and Hospitality vocational qualifications sectoral review </w:t>
      </w:r>
      <w:r w:rsidR="009B38E1" w:rsidRPr="008B12DA">
        <w:rPr>
          <w:rFonts w:asciiTheme="minorHAnsi" w:hAnsiTheme="minorHAnsi" w:cstheme="minorHAnsi"/>
        </w:rPr>
        <w:t xml:space="preserve">and audit </w:t>
      </w:r>
      <w:r w:rsidRPr="008B12DA">
        <w:rPr>
          <w:rFonts w:asciiTheme="minorHAnsi" w:hAnsiTheme="minorHAnsi" w:cstheme="minorHAnsi"/>
        </w:rPr>
        <w:t>commence</w:t>
      </w:r>
      <w:r w:rsidR="009B38E1" w:rsidRPr="008B12DA">
        <w:rPr>
          <w:rFonts w:asciiTheme="minorHAnsi" w:hAnsiTheme="minorHAnsi" w:cstheme="minorHAnsi"/>
        </w:rPr>
        <w:t xml:space="preserve">d.  </w:t>
      </w:r>
      <w:r w:rsidR="00F14D48" w:rsidRPr="00D61577">
        <w:rPr>
          <w:rFonts w:asciiTheme="minorHAnsi" w:hAnsiTheme="minorHAnsi" w:cstheme="minorHAnsi"/>
        </w:rPr>
        <w:t>The report</w:t>
      </w:r>
      <w:r w:rsidR="009B38E1" w:rsidRPr="00D61577">
        <w:rPr>
          <w:rFonts w:asciiTheme="minorHAnsi" w:hAnsiTheme="minorHAnsi" w:cstheme="minorHAnsi"/>
        </w:rPr>
        <w:t xml:space="preserve"> is due </w:t>
      </w:r>
      <w:r w:rsidR="00F14D48" w:rsidRPr="00D61577">
        <w:rPr>
          <w:rFonts w:asciiTheme="minorHAnsi" w:hAnsiTheme="minorHAnsi" w:cstheme="minorHAnsi"/>
        </w:rPr>
        <w:t xml:space="preserve">to be published </w:t>
      </w:r>
      <w:r w:rsidR="009B38E1" w:rsidRPr="00D61577">
        <w:rPr>
          <w:rFonts w:asciiTheme="minorHAnsi" w:hAnsiTheme="minorHAnsi" w:cstheme="minorHAnsi"/>
        </w:rPr>
        <w:t xml:space="preserve">in </w:t>
      </w:r>
      <w:r w:rsidR="00F14D48" w:rsidRPr="00D61577">
        <w:rPr>
          <w:rFonts w:asciiTheme="minorHAnsi" w:hAnsiTheme="minorHAnsi" w:cstheme="minorHAnsi"/>
        </w:rPr>
        <w:t>January</w:t>
      </w:r>
      <w:r w:rsidR="009B38E1" w:rsidRPr="00D61577">
        <w:rPr>
          <w:rFonts w:asciiTheme="minorHAnsi" w:hAnsiTheme="minorHAnsi" w:cstheme="minorHAnsi"/>
        </w:rPr>
        <w:t xml:space="preserve"> 202</w:t>
      </w:r>
      <w:r w:rsidR="00F14D48" w:rsidRPr="00D61577">
        <w:rPr>
          <w:rFonts w:asciiTheme="minorHAnsi" w:hAnsiTheme="minorHAnsi" w:cstheme="minorHAnsi"/>
        </w:rPr>
        <w:t>3</w:t>
      </w:r>
      <w:r w:rsidRPr="00D61577">
        <w:rPr>
          <w:rFonts w:asciiTheme="minorHAnsi" w:hAnsiTheme="minorHAnsi" w:cstheme="minorHAnsi"/>
        </w:rPr>
        <w:t>.</w:t>
      </w:r>
      <w:r w:rsidRPr="008B12DA">
        <w:rPr>
          <w:rFonts w:asciiTheme="minorHAnsi" w:hAnsiTheme="minorHAnsi" w:cstheme="minorHAnsi"/>
        </w:rPr>
        <w:t xml:space="preserve"> Vocational qualifications make up over 90% of the regulated qualifications in </w:t>
      </w:r>
      <w:r w:rsidR="00BF179C" w:rsidRPr="008B12DA">
        <w:rPr>
          <w:rFonts w:asciiTheme="minorHAnsi" w:hAnsiTheme="minorHAnsi" w:cstheme="minorHAnsi"/>
        </w:rPr>
        <w:t>Wales and</w:t>
      </w:r>
      <w:r w:rsidRPr="008B12DA">
        <w:rPr>
          <w:rFonts w:asciiTheme="minorHAnsi" w:hAnsiTheme="minorHAnsi" w:cstheme="minorHAnsi"/>
        </w:rPr>
        <w:t xml:space="preserve"> aim to reflect the skills that employers need. The sectoral review aims to: </w:t>
      </w:r>
    </w:p>
    <w:p w14:paraId="16F84CB4" w14:textId="74B3005D" w:rsidR="002B3106" w:rsidRPr="000F5751" w:rsidRDefault="002B3106" w:rsidP="002B3106">
      <w:pPr>
        <w:numPr>
          <w:ilvl w:val="0"/>
          <w:numId w:val="1"/>
        </w:numPr>
        <w:spacing w:before="100" w:beforeAutospacing="1" w:after="100" w:afterAutospacing="1"/>
        <w:jc w:val="both"/>
        <w:rPr>
          <w:rFonts w:cstheme="minorHAnsi"/>
        </w:rPr>
      </w:pPr>
      <w:r w:rsidRPr="000F5751">
        <w:rPr>
          <w:rFonts w:cstheme="minorHAnsi"/>
        </w:rPr>
        <w:t>understand the qualifications landscape</w:t>
      </w:r>
      <w:r w:rsidR="009B38E1" w:rsidRPr="000F5751">
        <w:rPr>
          <w:rFonts w:cstheme="minorHAnsi"/>
        </w:rPr>
        <w:t xml:space="preserve"> from Levels 1-</w:t>
      </w:r>
      <w:r w:rsidR="00E70D13" w:rsidRPr="000F5751">
        <w:rPr>
          <w:rFonts w:cstheme="minorHAnsi"/>
        </w:rPr>
        <w:t>3</w:t>
      </w:r>
    </w:p>
    <w:p w14:paraId="4EA35B00" w14:textId="6EECF71F" w:rsidR="002B3106" w:rsidRPr="000F5751" w:rsidRDefault="002B3106" w:rsidP="002B3106">
      <w:pPr>
        <w:numPr>
          <w:ilvl w:val="0"/>
          <w:numId w:val="1"/>
        </w:numPr>
        <w:spacing w:before="100" w:beforeAutospacing="1" w:after="100" w:afterAutospacing="1"/>
        <w:jc w:val="both"/>
        <w:rPr>
          <w:rFonts w:cstheme="minorHAnsi"/>
        </w:rPr>
      </w:pPr>
      <w:r w:rsidRPr="000F5751">
        <w:rPr>
          <w:rFonts w:cstheme="minorHAnsi"/>
        </w:rPr>
        <w:t>hear stakeholders’ views on the qualifications and the qualifications system</w:t>
      </w:r>
    </w:p>
    <w:p w14:paraId="6BE6DF05" w14:textId="13D165DD" w:rsidR="002B3106" w:rsidRPr="000F5751" w:rsidRDefault="002B3106" w:rsidP="002B3106">
      <w:pPr>
        <w:numPr>
          <w:ilvl w:val="0"/>
          <w:numId w:val="1"/>
        </w:numPr>
        <w:spacing w:before="100" w:beforeAutospacing="1" w:after="100" w:afterAutospacing="1"/>
        <w:jc w:val="both"/>
        <w:rPr>
          <w:rFonts w:cstheme="minorHAnsi"/>
        </w:rPr>
      </w:pPr>
      <w:r w:rsidRPr="000F5751">
        <w:rPr>
          <w:rFonts w:cstheme="minorHAnsi"/>
        </w:rPr>
        <w:t>consider whether the qualifications, and the qualifications system, are technically effective and fit for purpose</w:t>
      </w:r>
    </w:p>
    <w:p w14:paraId="1306C2B9" w14:textId="633D7DAA" w:rsidR="002B3106" w:rsidRPr="000F5751" w:rsidRDefault="002B3106" w:rsidP="002B3106">
      <w:pPr>
        <w:numPr>
          <w:ilvl w:val="0"/>
          <w:numId w:val="1"/>
        </w:numPr>
        <w:spacing w:before="100" w:beforeAutospacing="1" w:after="100" w:afterAutospacing="1"/>
        <w:jc w:val="both"/>
        <w:rPr>
          <w:rFonts w:cstheme="minorHAnsi"/>
        </w:rPr>
      </w:pPr>
      <w:r w:rsidRPr="000F5751">
        <w:rPr>
          <w:rFonts w:cstheme="minorHAnsi"/>
        </w:rPr>
        <w:t>learn lessons from the qualifications systems of other nations</w:t>
      </w:r>
    </w:p>
    <w:p w14:paraId="0568E916" w14:textId="490ACD4E" w:rsidR="002B3106" w:rsidRPr="000F5751" w:rsidRDefault="002B3106" w:rsidP="002B3106">
      <w:pPr>
        <w:numPr>
          <w:ilvl w:val="0"/>
          <w:numId w:val="1"/>
        </w:numPr>
        <w:spacing w:before="100" w:beforeAutospacing="1" w:after="100" w:afterAutospacing="1"/>
        <w:jc w:val="both"/>
        <w:rPr>
          <w:rFonts w:cstheme="minorHAnsi"/>
        </w:rPr>
      </w:pPr>
      <w:r w:rsidRPr="000F5751">
        <w:rPr>
          <w:rFonts w:cstheme="minorHAnsi"/>
        </w:rPr>
        <w:t>decide whether we should take (or recommend that others take) action to improve qualifications or the system</w:t>
      </w:r>
    </w:p>
    <w:p w14:paraId="24C2951C" w14:textId="77777777" w:rsidR="002B3106" w:rsidRPr="008B12DA" w:rsidRDefault="002B3106" w:rsidP="002B3106">
      <w:pPr>
        <w:pStyle w:val="NormalWeb"/>
        <w:spacing w:before="0" w:beforeAutospacing="0"/>
        <w:jc w:val="both"/>
        <w:rPr>
          <w:rFonts w:asciiTheme="minorHAnsi" w:hAnsiTheme="minorHAnsi" w:cstheme="minorHAnsi"/>
          <w:b/>
          <w:bCs/>
        </w:rPr>
      </w:pPr>
      <w:r w:rsidRPr="008B12DA">
        <w:rPr>
          <w:rStyle w:val="Strong"/>
          <w:rFonts w:asciiTheme="minorHAnsi" w:hAnsiTheme="minorHAnsi" w:cstheme="minorHAnsi"/>
        </w:rPr>
        <w:t xml:space="preserve">This is achieved via: </w:t>
      </w:r>
    </w:p>
    <w:p w14:paraId="57DF1BC7" w14:textId="7E477FBF" w:rsidR="002B3106" w:rsidRPr="000F5751" w:rsidRDefault="002B3106" w:rsidP="002B3106">
      <w:pPr>
        <w:numPr>
          <w:ilvl w:val="0"/>
          <w:numId w:val="2"/>
        </w:numPr>
        <w:spacing w:before="100" w:beforeAutospacing="1" w:after="100" w:afterAutospacing="1"/>
        <w:jc w:val="both"/>
        <w:rPr>
          <w:rFonts w:cstheme="minorHAnsi"/>
        </w:rPr>
      </w:pPr>
      <w:r w:rsidRPr="008B12DA">
        <w:rPr>
          <w:rFonts w:cstheme="minorHAnsi"/>
        </w:rPr>
        <w:t xml:space="preserve">interviews with stakeholders (including employers, sector bodies, work-based </w:t>
      </w:r>
      <w:r w:rsidRPr="000F5751">
        <w:rPr>
          <w:rFonts w:cstheme="minorHAnsi"/>
        </w:rPr>
        <w:t xml:space="preserve">learning providers, </w:t>
      </w:r>
      <w:r w:rsidR="00202025">
        <w:rPr>
          <w:rFonts w:cstheme="minorHAnsi"/>
        </w:rPr>
        <w:t xml:space="preserve">higher education institutions, </w:t>
      </w:r>
      <w:r w:rsidRPr="000F5751">
        <w:rPr>
          <w:rFonts w:cstheme="minorHAnsi"/>
        </w:rPr>
        <w:t>further education institutions and schools)</w:t>
      </w:r>
      <w:r w:rsidR="009B38E1" w:rsidRPr="000F5751">
        <w:rPr>
          <w:rFonts w:cstheme="minorHAnsi"/>
        </w:rPr>
        <w:t xml:space="preserve"> </w:t>
      </w:r>
    </w:p>
    <w:p w14:paraId="25397B82" w14:textId="6741311B" w:rsidR="002B3106" w:rsidRPr="000F5751" w:rsidRDefault="002B3106" w:rsidP="002B3106">
      <w:pPr>
        <w:numPr>
          <w:ilvl w:val="0"/>
          <w:numId w:val="2"/>
        </w:numPr>
        <w:spacing w:before="100" w:beforeAutospacing="1" w:after="100" w:afterAutospacing="1"/>
        <w:jc w:val="both"/>
        <w:rPr>
          <w:rFonts w:cstheme="minorHAnsi"/>
        </w:rPr>
      </w:pPr>
      <w:r w:rsidRPr="000F5751">
        <w:rPr>
          <w:rFonts w:cstheme="minorHAnsi"/>
        </w:rPr>
        <w:t>establishment of a stakeholder panel of ‘critical friends’ to assist and advise</w:t>
      </w:r>
      <w:r w:rsidR="00582296" w:rsidRPr="000F5751">
        <w:rPr>
          <w:rFonts w:cstheme="minorHAnsi"/>
        </w:rPr>
        <w:t xml:space="preserve"> - the Qualifications Wales </w:t>
      </w:r>
      <w:r w:rsidR="008B12DA" w:rsidRPr="000F5751">
        <w:rPr>
          <w:rFonts w:cstheme="minorHAnsi"/>
        </w:rPr>
        <w:t xml:space="preserve">Travel, </w:t>
      </w:r>
      <w:r w:rsidR="00582296" w:rsidRPr="000F5751">
        <w:rPr>
          <w:rFonts w:cstheme="minorHAnsi"/>
        </w:rPr>
        <w:t>Tourism</w:t>
      </w:r>
      <w:r w:rsidR="008B12DA" w:rsidRPr="000F5751">
        <w:rPr>
          <w:rFonts w:cstheme="minorHAnsi"/>
        </w:rPr>
        <w:t>,</w:t>
      </w:r>
      <w:r w:rsidR="00582296" w:rsidRPr="000F5751">
        <w:rPr>
          <w:rFonts w:cstheme="minorHAnsi"/>
        </w:rPr>
        <w:t xml:space="preserve"> Hospitality </w:t>
      </w:r>
      <w:r w:rsidR="008B12DA" w:rsidRPr="000F5751">
        <w:rPr>
          <w:rFonts w:cstheme="minorHAnsi"/>
        </w:rPr>
        <w:t>and Catering Advisory</w:t>
      </w:r>
      <w:r w:rsidR="00582296" w:rsidRPr="000F5751">
        <w:rPr>
          <w:rFonts w:cstheme="minorHAnsi"/>
        </w:rPr>
        <w:t xml:space="preserve"> Group that me</w:t>
      </w:r>
      <w:r w:rsidR="008B12DA" w:rsidRPr="000F5751">
        <w:rPr>
          <w:rFonts w:cstheme="minorHAnsi"/>
        </w:rPr>
        <w:t>t</w:t>
      </w:r>
      <w:r w:rsidR="00582296" w:rsidRPr="000F5751">
        <w:rPr>
          <w:rFonts w:cstheme="minorHAnsi"/>
        </w:rPr>
        <w:t xml:space="preserve"> quarterly</w:t>
      </w:r>
    </w:p>
    <w:p w14:paraId="2943F861" w14:textId="3E730E6A" w:rsidR="002B3106" w:rsidRPr="008B12DA" w:rsidRDefault="002B3106" w:rsidP="002B3106">
      <w:pPr>
        <w:numPr>
          <w:ilvl w:val="0"/>
          <w:numId w:val="2"/>
        </w:numPr>
        <w:spacing w:before="100" w:beforeAutospacing="1" w:after="100" w:afterAutospacing="1"/>
        <w:jc w:val="both"/>
        <w:rPr>
          <w:rFonts w:cstheme="minorHAnsi"/>
        </w:rPr>
      </w:pPr>
      <w:r w:rsidRPr="008B12DA">
        <w:rPr>
          <w:rFonts w:cstheme="minorHAnsi"/>
        </w:rPr>
        <w:t>encourage individuals to share their opinion</w:t>
      </w:r>
      <w:r w:rsidR="00582296" w:rsidRPr="008B12DA">
        <w:rPr>
          <w:rFonts w:cstheme="minorHAnsi"/>
        </w:rPr>
        <w:t>s</w:t>
      </w:r>
      <w:r w:rsidRPr="008B12DA">
        <w:rPr>
          <w:rFonts w:cstheme="minorHAnsi"/>
        </w:rPr>
        <w:t xml:space="preserve"> through an online survey</w:t>
      </w:r>
    </w:p>
    <w:p w14:paraId="2F9C6606" w14:textId="4B05D544" w:rsidR="002B3106" w:rsidRPr="008B12DA" w:rsidRDefault="002B3106" w:rsidP="002B3106">
      <w:pPr>
        <w:numPr>
          <w:ilvl w:val="0"/>
          <w:numId w:val="2"/>
        </w:numPr>
        <w:spacing w:before="100" w:beforeAutospacing="1" w:after="100" w:afterAutospacing="1"/>
        <w:jc w:val="both"/>
        <w:rPr>
          <w:rFonts w:cstheme="minorHAnsi"/>
        </w:rPr>
      </w:pPr>
      <w:r w:rsidRPr="008B12DA">
        <w:rPr>
          <w:rFonts w:cstheme="minorHAnsi"/>
        </w:rPr>
        <w:t>conduct a technical review of qualifications (including learners’ work)</w:t>
      </w:r>
    </w:p>
    <w:p w14:paraId="1E02C448" w14:textId="77777777" w:rsidR="002B3106" w:rsidRPr="008B12DA" w:rsidRDefault="002B3106" w:rsidP="002B3106">
      <w:pPr>
        <w:numPr>
          <w:ilvl w:val="0"/>
          <w:numId w:val="2"/>
        </w:numPr>
        <w:spacing w:before="100" w:beforeAutospacing="1" w:after="100" w:afterAutospacing="1"/>
        <w:jc w:val="both"/>
        <w:rPr>
          <w:rFonts w:cstheme="minorHAnsi"/>
        </w:rPr>
      </w:pPr>
      <w:r w:rsidRPr="008B12DA">
        <w:rPr>
          <w:rFonts w:cstheme="minorHAnsi"/>
        </w:rPr>
        <w:t>undertake a desk-based international comparison study.</w:t>
      </w:r>
    </w:p>
    <w:p w14:paraId="68C75AF1" w14:textId="41354B22" w:rsidR="00BC6D47" w:rsidRPr="00FC1164" w:rsidRDefault="00923F58">
      <w:pPr>
        <w:rPr>
          <w:b/>
          <w:bCs/>
        </w:rPr>
      </w:pPr>
      <w:r w:rsidRPr="00FC1164">
        <w:rPr>
          <w:b/>
          <w:bCs/>
        </w:rPr>
        <w:t>2/ How was the toolkit used to address an educational need?</w:t>
      </w:r>
    </w:p>
    <w:p w14:paraId="349041AE" w14:textId="1D347107" w:rsidR="00923F58" w:rsidRPr="00FC1164" w:rsidRDefault="00923F58">
      <w:pPr>
        <w:rPr>
          <w:b/>
          <w:bCs/>
        </w:rPr>
      </w:pPr>
    </w:p>
    <w:p w14:paraId="746AA38B" w14:textId="01804875" w:rsidR="00923F58" w:rsidRPr="008B12DA" w:rsidRDefault="00923F58" w:rsidP="00923F58">
      <w:pPr>
        <w:rPr>
          <w:rFonts w:ascii="Calibri" w:eastAsia="Times New Roman" w:hAnsi="Calibri" w:cs="Calibri"/>
          <w:color w:val="201F1E"/>
          <w:shd w:val="clear" w:color="auto" w:fill="FFFFFF"/>
          <w:lang w:eastAsia="en-GB"/>
        </w:rPr>
      </w:pPr>
      <w:r w:rsidRPr="008B12DA">
        <w:t xml:space="preserve">The NTG toolkit mapping templates were used </w:t>
      </w:r>
      <w:r w:rsidRPr="008B12DA">
        <w:rPr>
          <w:rFonts w:ascii="Calibri" w:eastAsia="Times New Roman" w:hAnsi="Calibri" w:cs="Calibri"/>
          <w:color w:val="201F1E"/>
          <w:shd w:val="clear" w:color="auto" w:fill="FFFFFF"/>
          <w:lang w:eastAsia="en-GB"/>
        </w:rPr>
        <w:t xml:space="preserve">to support its review of the current travel, tourism, </w:t>
      </w:r>
      <w:proofErr w:type="gramStart"/>
      <w:r w:rsidRPr="008B12DA">
        <w:rPr>
          <w:rFonts w:ascii="Calibri" w:eastAsia="Times New Roman" w:hAnsi="Calibri" w:cs="Calibri"/>
          <w:color w:val="201F1E"/>
          <w:shd w:val="clear" w:color="auto" w:fill="FFFFFF"/>
          <w:lang w:eastAsia="en-GB"/>
        </w:rPr>
        <w:t>hospitality</w:t>
      </w:r>
      <w:proofErr w:type="gramEnd"/>
      <w:r w:rsidRPr="008B12DA">
        <w:rPr>
          <w:rFonts w:ascii="Calibri" w:eastAsia="Times New Roman" w:hAnsi="Calibri" w:cs="Calibri"/>
          <w:color w:val="201F1E"/>
          <w:shd w:val="clear" w:color="auto" w:fill="FFFFFF"/>
          <w:lang w:eastAsia="en-GB"/>
        </w:rPr>
        <w:t xml:space="preserve"> and catering qualifications from NQF Levels 1-</w:t>
      </w:r>
      <w:r w:rsidR="00700791">
        <w:rPr>
          <w:rFonts w:ascii="Calibri" w:eastAsia="Times New Roman" w:hAnsi="Calibri" w:cs="Calibri"/>
          <w:color w:val="201F1E"/>
          <w:shd w:val="clear" w:color="auto" w:fill="FFFFFF"/>
          <w:lang w:eastAsia="en-GB"/>
        </w:rPr>
        <w:t>3</w:t>
      </w:r>
      <w:r w:rsidRPr="008B12DA">
        <w:rPr>
          <w:rFonts w:ascii="Calibri" w:eastAsia="Times New Roman" w:hAnsi="Calibri" w:cs="Calibri"/>
          <w:color w:val="201F1E"/>
          <w:shd w:val="clear" w:color="auto" w:fill="FFFFFF"/>
          <w:lang w:eastAsia="en-GB"/>
        </w:rPr>
        <w:t xml:space="preserve"> used by learners in Wales. The future skills were mapped against the content of the current qualifications to better understand how these qualifications were preparing learners for work and employment in this sector. Qualifications Wales will continue to refer to the future skills mapping templates to synthesise the review’s recommendations. </w:t>
      </w:r>
    </w:p>
    <w:p w14:paraId="41AF64A3" w14:textId="297F0B04" w:rsidR="00923F58" w:rsidRPr="008B12DA" w:rsidRDefault="00923F58" w:rsidP="00923F58">
      <w:pPr>
        <w:rPr>
          <w:rFonts w:ascii="Calibri" w:eastAsia="Times New Roman" w:hAnsi="Calibri" w:cs="Calibri"/>
          <w:color w:val="201F1E"/>
          <w:shd w:val="clear" w:color="auto" w:fill="FFFFFF"/>
          <w:lang w:eastAsia="en-GB"/>
        </w:rPr>
      </w:pPr>
      <w:r w:rsidRPr="00666FBD">
        <w:rPr>
          <w:rFonts w:ascii="Calibri" w:eastAsia="Times New Roman" w:hAnsi="Calibri" w:cs="Calibri"/>
          <w:color w:val="201F1E"/>
          <w:shd w:val="clear" w:color="auto" w:fill="FFFFFF"/>
          <w:lang w:eastAsia="en-GB"/>
        </w:rPr>
        <w:t xml:space="preserve">All digital, green and social skills </w:t>
      </w:r>
      <w:proofErr w:type="gramStart"/>
      <w:r w:rsidRPr="00666FBD">
        <w:rPr>
          <w:rFonts w:ascii="Calibri" w:eastAsia="Times New Roman" w:hAnsi="Calibri" w:cs="Calibri"/>
          <w:color w:val="201F1E"/>
          <w:shd w:val="clear" w:color="auto" w:fill="FFFFFF"/>
          <w:lang w:eastAsia="en-GB"/>
        </w:rPr>
        <w:t>sets</w:t>
      </w:r>
      <w:proofErr w:type="gramEnd"/>
      <w:r w:rsidRPr="00666FBD">
        <w:rPr>
          <w:rFonts w:ascii="Calibri" w:eastAsia="Times New Roman" w:hAnsi="Calibri" w:cs="Calibri"/>
          <w:color w:val="201F1E"/>
          <w:shd w:val="clear" w:color="auto" w:fill="FFFFFF"/>
          <w:lang w:eastAsia="en-GB"/>
        </w:rPr>
        <w:t xml:space="preserve"> and competencies were utilised from the mapping template to place against existing qualifications</w:t>
      </w:r>
      <w:r w:rsidR="00666FBD" w:rsidRPr="00666FBD">
        <w:rPr>
          <w:rFonts w:ascii="Calibri" w:eastAsia="Times New Roman" w:hAnsi="Calibri" w:cs="Calibri"/>
          <w:color w:val="201F1E"/>
          <w:shd w:val="clear" w:color="auto" w:fill="FFFFFF"/>
          <w:lang w:eastAsia="en-GB"/>
        </w:rPr>
        <w:t>.</w:t>
      </w:r>
    </w:p>
    <w:p w14:paraId="0A3F2963" w14:textId="3423745C" w:rsidR="00923F58" w:rsidRPr="008B12DA" w:rsidRDefault="00923F58" w:rsidP="00923F58">
      <w:pPr>
        <w:rPr>
          <w:rFonts w:ascii="Calibri" w:eastAsia="Times New Roman" w:hAnsi="Calibri" w:cs="Calibri"/>
          <w:color w:val="201F1E"/>
          <w:shd w:val="clear" w:color="auto" w:fill="FFFFFF"/>
          <w:lang w:eastAsia="en-GB"/>
        </w:rPr>
      </w:pPr>
    </w:p>
    <w:p w14:paraId="79EDCB70" w14:textId="77777777" w:rsidR="00FC1164" w:rsidRDefault="00923F58" w:rsidP="00923F58">
      <w:pPr>
        <w:rPr>
          <w:rFonts w:ascii="Calibri" w:eastAsia="Times New Roman" w:hAnsi="Calibri" w:cs="Calibri"/>
          <w:color w:val="201F1E"/>
          <w:shd w:val="clear" w:color="auto" w:fill="FFFFFF"/>
          <w:lang w:eastAsia="en-GB"/>
        </w:rPr>
      </w:pPr>
      <w:r w:rsidRPr="00FC1164">
        <w:rPr>
          <w:rFonts w:ascii="Calibri" w:eastAsia="Times New Roman" w:hAnsi="Calibri" w:cs="Calibri"/>
          <w:b/>
          <w:bCs/>
          <w:color w:val="201F1E"/>
          <w:shd w:val="clear" w:color="auto" w:fill="FFFFFF"/>
          <w:lang w:eastAsia="en-GB"/>
        </w:rPr>
        <w:t xml:space="preserve">3/ </w:t>
      </w:r>
      <w:r w:rsidR="001D392C" w:rsidRPr="00FC1164">
        <w:rPr>
          <w:rFonts w:ascii="Calibri" w:eastAsia="Times New Roman" w:hAnsi="Calibri" w:cs="Calibri"/>
          <w:b/>
          <w:bCs/>
          <w:color w:val="201F1E"/>
          <w:shd w:val="clear" w:color="auto" w:fill="FFFFFF"/>
          <w:lang w:eastAsia="en-GB"/>
        </w:rPr>
        <w:t>Were partners involved and if so, how?</w:t>
      </w:r>
      <w:r w:rsidR="001D392C" w:rsidRPr="008B12DA">
        <w:rPr>
          <w:rFonts w:ascii="Calibri" w:eastAsia="Times New Roman" w:hAnsi="Calibri" w:cs="Calibri"/>
          <w:color w:val="201F1E"/>
          <w:shd w:val="clear" w:color="auto" w:fill="FFFFFF"/>
          <w:lang w:eastAsia="en-GB"/>
        </w:rPr>
        <w:t xml:space="preserve"> </w:t>
      </w:r>
    </w:p>
    <w:p w14:paraId="7B3F9AFA" w14:textId="509B5D2F" w:rsidR="001D392C" w:rsidRPr="008B12DA" w:rsidRDefault="001D392C" w:rsidP="00923F58">
      <w:pPr>
        <w:rPr>
          <w:rFonts w:ascii="Calibri" w:eastAsia="Times New Roman" w:hAnsi="Calibri" w:cs="Calibri"/>
          <w:color w:val="201F1E"/>
          <w:shd w:val="clear" w:color="auto" w:fill="FFFFFF"/>
          <w:lang w:eastAsia="en-GB"/>
        </w:rPr>
      </w:pPr>
      <w:r w:rsidRPr="008B12DA">
        <w:rPr>
          <w:rFonts w:ascii="Calibri" w:eastAsia="Times New Roman" w:hAnsi="Calibri" w:cs="Calibri"/>
          <w:color w:val="201F1E"/>
          <w:shd w:val="clear" w:color="auto" w:fill="FFFFFF"/>
          <w:lang w:eastAsia="en-GB"/>
        </w:rPr>
        <w:t>The Qualifications Wales Travel, Tourism, Hospitality and Catering Advisory Group comprised of a wide range of stakeholder</w:t>
      </w:r>
      <w:r w:rsidR="00D804C2" w:rsidRPr="008B12DA">
        <w:rPr>
          <w:rFonts w:ascii="Calibri" w:eastAsia="Times New Roman" w:hAnsi="Calibri" w:cs="Calibri"/>
          <w:color w:val="201F1E"/>
          <w:shd w:val="clear" w:color="auto" w:fill="FFFFFF"/>
          <w:lang w:eastAsia="en-GB"/>
        </w:rPr>
        <w:t>s</w:t>
      </w:r>
      <w:r w:rsidRPr="008B12DA">
        <w:rPr>
          <w:rFonts w:ascii="Calibri" w:eastAsia="Times New Roman" w:hAnsi="Calibri" w:cs="Calibri"/>
          <w:color w:val="201F1E"/>
          <w:shd w:val="clear" w:color="auto" w:fill="FFFFFF"/>
          <w:lang w:eastAsia="en-GB"/>
        </w:rPr>
        <w:t xml:space="preserve"> who have an interest in the development of quality tourism </w:t>
      </w:r>
      <w:r w:rsidR="00D804C2" w:rsidRPr="008B12DA">
        <w:rPr>
          <w:rFonts w:ascii="Calibri" w:eastAsia="Times New Roman" w:hAnsi="Calibri" w:cs="Calibri"/>
          <w:color w:val="201F1E"/>
          <w:shd w:val="clear" w:color="auto" w:fill="FFFFFF"/>
          <w:lang w:eastAsia="en-GB"/>
        </w:rPr>
        <w:t xml:space="preserve">and hospitality </w:t>
      </w:r>
      <w:r w:rsidRPr="008B12DA">
        <w:rPr>
          <w:rFonts w:ascii="Calibri" w:eastAsia="Times New Roman" w:hAnsi="Calibri" w:cs="Calibri"/>
          <w:color w:val="201F1E"/>
          <w:shd w:val="clear" w:color="auto" w:fill="FFFFFF"/>
          <w:lang w:eastAsia="en-GB"/>
        </w:rPr>
        <w:t>education in Wales</w:t>
      </w:r>
      <w:r w:rsidR="00D804C2" w:rsidRPr="008B12DA">
        <w:rPr>
          <w:rFonts w:ascii="Calibri" w:eastAsia="Times New Roman" w:hAnsi="Calibri" w:cs="Calibri"/>
          <w:color w:val="201F1E"/>
          <w:shd w:val="clear" w:color="auto" w:fill="FFFFFF"/>
          <w:lang w:eastAsia="en-GB"/>
        </w:rPr>
        <w:t>, i</w:t>
      </w:r>
      <w:r w:rsidRPr="008B12DA">
        <w:rPr>
          <w:rFonts w:ascii="Calibri" w:eastAsia="Times New Roman" w:hAnsi="Calibri" w:cs="Calibri"/>
          <w:color w:val="201F1E"/>
          <w:shd w:val="clear" w:color="auto" w:fill="FFFFFF"/>
          <w:lang w:eastAsia="en-GB"/>
        </w:rPr>
        <w:t xml:space="preserve">ncluding trade </w:t>
      </w:r>
      <w:r w:rsidR="00D804C2" w:rsidRPr="008B12DA">
        <w:rPr>
          <w:rFonts w:ascii="Calibri" w:eastAsia="Times New Roman" w:hAnsi="Calibri" w:cs="Calibri"/>
          <w:color w:val="201F1E"/>
          <w:shd w:val="clear" w:color="auto" w:fill="FFFFFF"/>
          <w:lang w:eastAsia="en-GB"/>
        </w:rPr>
        <w:t>associations</w:t>
      </w:r>
      <w:r w:rsidRPr="008B12DA">
        <w:rPr>
          <w:rFonts w:ascii="Calibri" w:eastAsia="Times New Roman" w:hAnsi="Calibri" w:cs="Calibri"/>
          <w:color w:val="201F1E"/>
          <w:shd w:val="clear" w:color="auto" w:fill="FFFFFF"/>
          <w:lang w:eastAsia="en-GB"/>
        </w:rPr>
        <w:t>,</w:t>
      </w:r>
      <w:r w:rsidR="00D804C2" w:rsidRPr="008B12DA">
        <w:rPr>
          <w:rFonts w:ascii="Calibri" w:eastAsia="Times New Roman" w:hAnsi="Calibri" w:cs="Calibri"/>
          <w:color w:val="201F1E"/>
          <w:shd w:val="clear" w:color="auto" w:fill="FFFFFF"/>
          <w:lang w:eastAsia="en-GB"/>
        </w:rPr>
        <w:t xml:space="preserve"> private training providers,</w:t>
      </w:r>
      <w:r w:rsidRPr="008B12DA">
        <w:rPr>
          <w:rFonts w:ascii="Calibri" w:eastAsia="Times New Roman" w:hAnsi="Calibri" w:cs="Calibri"/>
          <w:color w:val="201F1E"/>
          <w:shd w:val="clear" w:color="auto" w:fill="FFFFFF"/>
          <w:lang w:eastAsia="en-GB"/>
        </w:rPr>
        <w:t xml:space="preserve"> FE </w:t>
      </w:r>
      <w:r w:rsidR="00D804C2" w:rsidRPr="008B12DA">
        <w:rPr>
          <w:rFonts w:ascii="Calibri" w:eastAsia="Times New Roman" w:hAnsi="Calibri" w:cs="Calibri"/>
          <w:color w:val="201F1E"/>
          <w:shd w:val="clear" w:color="auto" w:fill="FFFFFF"/>
          <w:lang w:eastAsia="en-GB"/>
        </w:rPr>
        <w:t xml:space="preserve">college </w:t>
      </w:r>
      <w:r w:rsidRPr="008B12DA">
        <w:rPr>
          <w:rFonts w:ascii="Calibri" w:eastAsia="Times New Roman" w:hAnsi="Calibri" w:cs="Calibri"/>
          <w:color w:val="201F1E"/>
          <w:shd w:val="clear" w:color="auto" w:fill="FFFFFF"/>
          <w:lang w:eastAsia="en-GB"/>
        </w:rPr>
        <w:t>and HE networks, Regional Skills Partnerships</w:t>
      </w:r>
      <w:r w:rsidR="00D804C2" w:rsidRPr="008B12DA">
        <w:rPr>
          <w:rFonts w:ascii="Calibri" w:eastAsia="Times New Roman" w:hAnsi="Calibri" w:cs="Calibri"/>
          <w:color w:val="201F1E"/>
          <w:shd w:val="clear" w:color="auto" w:fill="FFFFFF"/>
          <w:lang w:eastAsia="en-GB"/>
        </w:rPr>
        <w:t xml:space="preserve"> and</w:t>
      </w:r>
      <w:r w:rsidRPr="008B12DA">
        <w:rPr>
          <w:rFonts w:ascii="Calibri" w:eastAsia="Times New Roman" w:hAnsi="Calibri" w:cs="Calibri"/>
          <w:color w:val="201F1E"/>
          <w:shd w:val="clear" w:color="auto" w:fill="FFFFFF"/>
          <w:lang w:eastAsia="en-GB"/>
        </w:rPr>
        <w:t xml:space="preserve"> business owners</w:t>
      </w:r>
      <w:r w:rsidR="00D61577">
        <w:rPr>
          <w:rFonts w:ascii="Calibri" w:eastAsia="Times New Roman" w:hAnsi="Calibri" w:cs="Calibri"/>
          <w:color w:val="201F1E"/>
          <w:shd w:val="clear" w:color="auto" w:fill="FFFFFF"/>
          <w:lang w:eastAsia="en-GB"/>
        </w:rPr>
        <w:t xml:space="preserve"> and Visit Wales</w:t>
      </w:r>
      <w:r w:rsidR="00D804C2" w:rsidRPr="008B12DA">
        <w:rPr>
          <w:rFonts w:ascii="Calibri" w:eastAsia="Times New Roman" w:hAnsi="Calibri" w:cs="Calibri"/>
          <w:color w:val="201F1E"/>
          <w:shd w:val="clear" w:color="auto" w:fill="FFFFFF"/>
          <w:lang w:eastAsia="en-GB"/>
        </w:rPr>
        <w:t xml:space="preserve">. </w:t>
      </w:r>
      <w:r w:rsidRPr="008B12DA">
        <w:rPr>
          <w:rFonts w:ascii="Calibri" w:eastAsia="Times New Roman" w:hAnsi="Calibri" w:cs="Calibri"/>
          <w:color w:val="201F1E"/>
          <w:shd w:val="clear" w:color="auto" w:fill="FFFFFF"/>
          <w:lang w:eastAsia="en-GB"/>
        </w:rPr>
        <w:t xml:space="preserve"> </w:t>
      </w:r>
      <w:r w:rsidR="00D804C2" w:rsidRPr="008B12DA">
        <w:rPr>
          <w:rFonts w:ascii="Calibri" w:eastAsia="Times New Roman" w:hAnsi="Calibri" w:cs="Calibri"/>
          <w:color w:val="201F1E"/>
          <w:shd w:val="clear" w:color="auto" w:fill="FFFFFF"/>
          <w:lang w:eastAsia="en-GB"/>
        </w:rPr>
        <w:t xml:space="preserve">The Advisory group met online via quarterly meetings during the lifespan of the Tourism Qualifications Review. </w:t>
      </w:r>
    </w:p>
    <w:p w14:paraId="4849DBA8" w14:textId="77777777" w:rsidR="00D804C2" w:rsidRPr="008B12DA" w:rsidRDefault="00D804C2" w:rsidP="00923F58">
      <w:pPr>
        <w:rPr>
          <w:rFonts w:ascii="Calibri" w:eastAsia="Times New Roman" w:hAnsi="Calibri" w:cs="Calibri"/>
          <w:color w:val="201F1E"/>
          <w:shd w:val="clear" w:color="auto" w:fill="FFFFFF"/>
          <w:lang w:eastAsia="en-GB"/>
        </w:rPr>
      </w:pPr>
    </w:p>
    <w:p w14:paraId="4F33CC81" w14:textId="58E09ED9" w:rsidR="00923F58" w:rsidRPr="00666FBD" w:rsidRDefault="001D392C" w:rsidP="00923F58">
      <w:pPr>
        <w:rPr>
          <w:rFonts w:ascii="Calibri" w:eastAsia="Times New Roman" w:hAnsi="Calibri" w:cs="Calibri"/>
          <w:b/>
          <w:bCs/>
          <w:color w:val="201F1E"/>
          <w:shd w:val="clear" w:color="auto" w:fill="FFFFFF"/>
          <w:lang w:eastAsia="en-GB"/>
        </w:rPr>
      </w:pPr>
      <w:r w:rsidRPr="00666FBD">
        <w:rPr>
          <w:rFonts w:ascii="Calibri" w:eastAsia="Times New Roman" w:hAnsi="Calibri" w:cs="Calibri"/>
          <w:b/>
          <w:bCs/>
          <w:color w:val="201F1E"/>
          <w:shd w:val="clear" w:color="auto" w:fill="FFFFFF"/>
          <w:lang w:eastAsia="en-GB"/>
        </w:rPr>
        <w:t xml:space="preserve">4/ </w:t>
      </w:r>
      <w:r w:rsidR="00923F58" w:rsidRPr="00666FBD">
        <w:rPr>
          <w:rFonts w:ascii="Calibri" w:eastAsia="Times New Roman" w:hAnsi="Calibri" w:cs="Calibri"/>
          <w:b/>
          <w:bCs/>
          <w:color w:val="201F1E"/>
          <w:shd w:val="clear" w:color="auto" w:fill="FFFFFF"/>
          <w:lang w:eastAsia="en-GB"/>
        </w:rPr>
        <w:t xml:space="preserve">What benefits resulted from the used of the </w:t>
      </w:r>
      <w:r w:rsidR="008B12DA" w:rsidRPr="00666FBD">
        <w:rPr>
          <w:rFonts w:ascii="Calibri" w:eastAsia="Times New Roman" w:hAnsi="Calibri" w:cs="Calibri"/>
          <w:b/>
          <w:bCs/>
          <w:color w:val="201F1E"/>
          <w:shd w:val="clear" w:color="auto" w:fill="FFFFFF"/>
          <w:lang w:eastAsia="en-GB"/>
        </w:rPr>
        <w:t xml:space="preserve">NTG </w:t>
      </w:r>
      <w:r w:rsidR="00923F58" w:rsidRPr="00666FBD">
        <w:rPr>
          <w:rFonts w:ascii="Calibri" w:eastAsia="Times New Roman" w:hAnsi="Calibri" w:cs="Calibri"/>
          <w:b/>
          <w:bCs/>
          <w:color w:val="201F1E"/>
          <w:shd w:val="clear" w:color="auto" w:fill="FFFFFF"/>
          <w:lang w:eastAsia="en-GB"/>
        </w:rPr>
        <w:t xml:space="preserve">toolkit? </w:t>
      </w:r>
    </w:p>
    <w:p w14:paraId="5B3B140B" w14:textId="77777777" w:rsidR="00666FBD" w:rsidRPr="00666FBD" w:rsidRDefault="00666FBD" w:rsidP="00666FBD">
      <w:pPr>
        <w:rPr>
          <w:rFonts w:ascii="Calibri" w:eastAsia="Times New Roman" w:hAnsi="Calibri" w:cs="Calibri"/>
          <w:color w:val="201F1E"/>
          <w:shd w:val="clear" w:color="auto" w:fill="FFFFFF"/>
          <w:lang w:eastAsia="en-GB"/>
        </w:rPr>
      </w:pPr>
      <w:r w:rsidRPr="00666FBD">
        <w:rPr>
          <w:rFonts w:ascii="Calibri" w:eastAsia="Times New Roman" w:hAnsi="Calibri" w:cs="Calibri"/>
          <w:color w:val="201F1E"/>
          <w:shd w:val="clear" w:color="auto" w:fill="FFFFFF"/>
          <w:lang w:eastAsia="en-GB"/>
        </w:rPr>
        <w:t xml:space="preserve">As a result of the research, a matrix of future skills needs was developed in relation to the following:  </w:t>
      </w:r>
    </w:p>
    <w:p w14:paraId="047CC2F1" w14:textId="77777777" w:rsidR="00666FBD" w:rsidRPr="00666FBD" w:rsidRDefault="00666FBD" w:rsidP="00666FBD">
      <w:pPr>
        <w:rPr>
          <w:rFonts w:ascii="Calibri" w:eastAsia="Times New Roman" w:hAnsi="Calibri" w:cs="Calibri"/>
          <w:color w:val="201F1E"/>
          <w:shd w:val="clear" w:color="auto" w:fill="FFFFFF"/>
          <w:lang w:eastAsia="en-GB"/>
        </w:rPr>
      </w:pPr>
    </w:p>
    <w:p w14:paraId="414F3BF7" w14:textId="77777777" w:rsidR="00666FBD" w:rsidRPr="00666FBD" w:rsidRDefault="00666FBD" w:rsidP="00666FBD">
      <w:pPr>
        <w:rPr>
          <w:rFonts w:ascii="Calibri" w:eastAsia="Times New Roman" w:hAnsi="Calibri" w:cs="Calibri"/>
          <w:color w:val="201F1E"/>
          <w:shd w:val="clear" w:color="auto" w:fill="FFFFFF"/>
          <w:lang w:eastAsia="en-GB"/>
        </w:rPr>
      </w:pPr>
      <w:r w:rsidRPr="00666FBD">
        <w:rPr>
          <w:rFonts w:ascii="Calibri" w:eastAsia="Times New Roman" w:hAnsi="Calibri" w:cs="Calibri"/>
          <w:color w:val="201F1E"/>
          <w:shd w:val="clear" w:color="auto" w:fill="FFFFFF"/>
          <w:lang w:eastAsia="en-GB"/>
        </w:rPr>
        <w:t>Digital/technological: online marketing, data analytics, use of AI, robotics, mobile technology, Virtual Reality applications, social media</w:t>
      </w:r>
    </w:p>
    <w:p w14:paraId="17BC5736" w14:textId="77777777" w:rsidR="00666FBD" w:rsidRPr="00666FBD" w:rsidRDefault="00666FBD" w:rsidP="00666FBD">
      <w:pPr>
        <w:rPr>
          <w:rFonts w:ascii="Calibri" w:eastAsia="Times New Roman" w:hAnsi="Calibri" w:cs="Calibri"/>
          <w:color w:val="201F1E"/>
          <w:shd w:val="clear" w:color="auto" w:fill="FFFFFF"/>
          <w:lang w:eastAsia="en-GB"/>
        </w:rPr>
      </w:pPr>
      <w:r w:rsidRPr="00666FBD">
        <w:rPr>
          <w:rFonts w:ascii="Calibri" w:eastAsia="Times New Roman" w:hAnsi="Calibri" w:cs="Calibri"/>
          <w:color w:val="201F1E"/>
          <w:shd w:val="clear" w:color="auto" w:fill="FFFFFF"/>
          <w:lang w:eastAsia="en-GB"/>
        </w:rPr>
        <w:t xml:space="preserve">Green:  Resource management (recycling, waste, </w:t>
      </w:r>
      <w:proofErr w:type="gramStart"/>
      <w:r w:rsidRPr="00666FBD">
        <w:rPr>
          <w:rFonts w:ascii="Calibri" w:eastAsia="Times New Roman" w:hAnsi="Calibri" w:cs="Calibri"/>
          <w:color w:val="201F1E"/>
          <w:shd w:val="clear" w:color="auto" w:fill="FFFFFF"/>
          <w:lang w:eastAsia="en-GB"/>
        </w:rPr>
        <w:t>water</w:t>
      </w:r>
      <w:proofErr w:type="gramEnd"/>
      <w:r w:rsidRPr="00666FBD">
        <w:rPr>
          <w:rFonts w:ascii="Calibri" w:eastAsia="Times New Roman" w:hAnsi="Calibri" w:cs="Calibri"/>
          <w:color w:val="201F1E"/>
          <w:shd w:val="clear" w:color="auto" w:fill="FFFFFF"/>
          <w:lang w:eastAsia="en-GB"/>
        </w:rPr>
        <w:t xml:space="preserve"> and energy), local procurement and sustainable products and services, awareness raising of environmental issues</w:t>
      </w:r>
    </w:p>
    <w:p w14:paraId="2F6A7C59" w14:textId="77777777" w:rsidR="00666FBD" w:rsidRPr="00666FBD" w:rsidRDefault="00666FBD" w:rsidP="00666FBD">
      <w:pPr>
        <w:rPr>
          <w:rFonts w:ascii="Calibri" w:eastAsia="Times New Roman" w:hAnsi="Calibri" w:cs="Calibri"/>
          <w:color w:val="201F1E"/>
          <w:shd w:val="clear" w:color="auto" w:fill="FFFFFF"/>
          <w:lang w:eastAsia="en-GB"/>
        </w:rPr>
      </w:pPr>
      <w:r w:rsidRPr="00666FBD">
        <w:rPr>
          <w:rFonts w:ascii="Calibri" w:eastAsia="Times New Roman" w:hAnsi="Calibri" w:cs="Calibri"/>
          <w:color w:val="201F1E"/>
          <w:shd w:val="clear" w:color="auto" w:fill="FFFFFF"/>
          <w:lang w:eastAsia="en-GB"/>
        </w:rPr>
        <w:t xml:space="preserve">Social:  Behavioural and practical attitudinal competences in interpersonal communication, accessible tourism knowledge, gender equality, cross-cultural understanding, diversity, social </w:t>
      </w:r>
      <w:proofErr w:type="gramStart"/>
      <w:r w:rsidRPr="00666FBD">
        <w:rPr>
          <w:rFonts w:ascii="Calibri" w:eastAsia="Times New Roman" w:hAnsi="Calibri" w:cs="Calibri"/>
          <w:color w:val="201F1E"/>
          <w:shd w:val="clear" w:color="auto" w:fill="FFFFFF"/>
          <w:lang w:eastAsia="en-GB"/>
        </w:rPr>
        <w:t>inclusion</w:t>
      </w:r>
      <w:proofErr w:type="gramEnd"/>
      <w:r w:rsidRPr="00666FBD">
        <w:rPr>
          <w:rFonts w:ascii="Calibri" w:eastAsia="Times New Roman" w:hAnsi="Calibri" w:cs="Calibri"/>
          <w:color w:val="201F1E"/>
          <w:shd w:val="clear" w:color="auto" w:fill="FFFFFF"/>
          <w:lang w:eastAsia="en-GB"/>
        </w:rPr>
        <w:t xml:space="preserve"> and customer service</w:t>
      </w:r>
    </w:p>
    <w:p w14:paraId="233131FC" w14:textId="77777777" w:rsidR="00666FBD" w:rsidRPr="00666FBD" w:rsidRDefault="00666FBD" w:rsidP="00666FBD">
      <w:pPr>
        <w:rPr>
          <w:rFonts w:ascii="Calibri" w:eastAsia="Times New Roman" w:hAnsi="Calibri" w:cs="Calibri"/>
          <w:color w:val="201F1E"/>
          <w:shd w:val="clear" w:color="auto" w:fill="FFFFFF"/>
          <w:lang w:eastAsia="en-GB"/>
        </w:rPr>
      </w:pPr>
    </w:p>
    <w:p w14:paraId="3157473F" w14:textId="4EC15346" w:rsidR="00666FBD" w:rsidRPr="00666FBD" w:rsidRDefault="00666FBD" w:rsidP="00666FBD">
      <w:pPr>
        <w:rPr>
          <w:rFonts w:ascii="Calibri" w:eastAsia="Times New Roman" w:hAnsi="Calibri" w:cs="Calibri"/>
          <w:color w:val="201F1E"/>
          <w:shd w:val="clear" w:color="auto" w:fill="FFFFFF"/>
          <w:lang w:eastAsia="en-GB"/>
        </w:rPr>
      </w:pPr>
      <w:r w:rsidRPr="00666FBD">
        <w:rPr>
          <w:rFonts w:ascii="Calibri" w:eastAsia="Times New Roman" w:hAnsi="Calibri" w:cs="Calibri"/>
          <w:color w:val="201F1E"/>
          <w:shd w:val="clear" w:color="auto" w:fill="FFFFFF"/>
          <w:lang w:eastAsia="en-GB"/>
        </w:rPr>
        <w:t>The results of the research were presented in a matrix (spreadsheet).  A range of regulated qualifications were then reviewed to determine the extent to which these skills needs were being met through existing qualifications.</w:t>
      </w:r>
    </w:p>
    <w:p w14:paraId="7C55064A" w14:textId="77777777" w:rsidR="00666FBD" w:rsidRPr="00666FBD" w:rsidRDefault="00666FBD" w:rsidP="00666FBD">
      <w:pPr>
        <w:rPr>
          <w:rFonts w:ascii="Calibri" w:eastAsia="Times New Roman" w:hAnsi="Calibri" w:cs="Calibri"/>
          <w:color w:val="201F1E"/>
          <w:shd w:val="clear" w:color="auto" w:fill="FFFFFF"/>
          <w:lang w:eastAsia="en-GB"/>
        </w:rPr>
      </w:pPr>
      <w:r w:rsidRPr="00666FBD">
        <w:rPr>
          <w:rFonts w:ascii="Calibri" w:eastAsia="Times New Roman" w:hAnsi="Calibri" w:cs="Calibri"/>
          <w:color w:val="201F1E"/>
          <w:shd w:val="clear" w:color="auto" w:fill="FFFFFF"/>
          <w:lang w:eastAsia="en-GB"/>
        </w:rPr>
        <w:tab/>
      </w:r>
    </w:p>
    <w:p w14:paraId="64DF2CE2" w14:textId="5296C0FA" w:rsidR="00666FBD" w:rsidRPr="00666FBD" w:rsidRDefault="00666FBD" w:rsidP="00666FBD">
      <w:pPr>
        <w:rPr>
          <w:rFonts w:ascii="Calibri" w:eastAsia="Times New Roman" w:hAnsi="Calibri" w:cs="Calibri"/>
          <w:color w:val="201F1E"/>
          <w:shd w:val="clear" w:color="auto" w:fill="FFFFFF"/>
          <w:lang w:eastAsia="en-GB"/>
        </w:rPr>
      </w:pPr>
      <w:r w:rsidRPr="00666FBD">
        <w:rPr>
          <w:rFonts w:ascii="Calibri" w:eastAsia="Times New Roman" w:hAnsi="Calibri" w:cs="Calibri"/>
          <w:color w:val="201F1E"/>
          <w:shd w:val="clear" w:color="auto" w:fill="FFFFFF"/>
          <w:lang w:eastAsia="en-GB"/>
        </w:rPr>
        <w:t xml:space="preserve">The matrix provided skills needs in relation to three levels; </w:t>
      </w:r>
      <w:r w:rsidR="00D61577" w:rsidRPr="00666FBD">
        <w:rPr>
          <w:rFonts w:ascii="Calibri" w:eastAsia="Times New Roman" w:hAnsi="Calibri" w:cs="Calibri"/>
          <w:color w:val="201F1E"/>
          <w:shd w:val="clear" w:color="auto" w:fill="FFFFFF"/>
          <w:lang w:eastAsia="en-GB"/>
        </w:rPr>
        <w:t>however,</w:t>
      </w:r>
      <w:r w:rsidRPr="00666FBD">
        <w:rPr>
          <w:rFonts w:ascii="Calibri" w:eastAsia="Times New Roman" w:hAnsi="Calibri" w:cs="Calibri"/>
          <w:color w:val="201F1E"/>
          <w:shd w:val="clear" w:color="auto" w:fill="FFFFFF"/>
          <w:lang w:eastAsia="en-GB"/>
        </w:rPr>
        <w:t xml:space="preserve"> those levels do not equate with CWQF levels.  Level 1 was aligned to operational level roles and more relevant to the qualifications within the remit of this review.  </w:t>
      </w:r>
    </w:p>
    <w:p w14:paraId="60C9B86F" w14:textId="77777777" w:rsidR="00666FBD" w:rsidRPr="00666FBD" w:rsidRDefault="00666FBD" w:rsidP="00666FBD">
      <w:pPr>
        <w:rPr>
          <w:rFonts w:ascii="Calibri" w:eastAsia="Times New Roman" w:hAnsi="Calibri" w:cs="Calibri"/>
          <w:color w:val="201F1E"/>
          <w:shd w:val="clear" w:color="auto" w:fill="FFFFFF"/>
          <w:lang w:eastAsia="en-GB"/>
        </w:rPr>
      </w:pPr>
    </w:p>
    <w:p w14:paraId="35B56E77" w14:textId="77777777" w:rsidR="00666FBD" w:rsidRPr="00666FBD" w:rsidRDefault="00666FBD" w:rsidP="00666FBD">
      <w:pPr>
        <w:rPr>
          <w:rFonts w:ascii="Calibri" w:eastAsia="Times New Roman" w:hAnsi="Calibri" w:cs="Calibri"/>
          <w:color w:val="201F1E"/>
          <w:shd w:val="clear" w:color="auto" w:fill="FFFFFF"/>
          <w:lang w:eastAsia="en-GB"/>
        </w:rPr>
      </w:pPr>
      <w:r w:rsidRPr="00666FBD">
        <w:rPr>
          <w:rFonts w:ascii="Calibri" w:eastAsia="Times New Roman" w:hAnsi="Calibri" w:cs="Calibri"/>
          <w:color w:val="201F1E"/>
          <w:shd w:val="clear" w:color="auto" w:fill="FFFFFF"/>
          <w:lang w:eastAsia="en-GB"/>
        </w:rPr>
        <w:t>Each qualification was reviewed for content related to the relevant competencies.  Where it was considered that there was some alignment, this was highlighted with the relevant unit number and additional details where appropriate.  Alignment could be based on reference in the content, assessment criteria, grading descriptions or description of assessment.  A judgement was then made as to whether the cell should be amber or green using the following:</w:t>
      </w:r>
    </w:p>
    <w:p w14:paraId="0C5B938A" w14:textId="77777777" w:rsidR="00666FBD" w:rsidRPr="00666FBD" w:rsidRDefault="00666FBD" w:rsidP="00666FBD">
      <w:pPr>
        <w:rPr>
          <w:rFonts w:ascii="Calibri" w:eastAsia="Times New Roman" w:hAnsi="Calibri" w:cs="Calibri"/>
          <w:color w:val="201F1E"/>
          <w:shd w:val="clear" w:color="auto" w:fill="FFFFFF"/>
          <w:lang w:eastAsia="en-GB"/>
        </w:rPr>
      </w:pPr>
      <w:r w:rsidRPr="00666FBD">
        <w:rPr>
          <w:rFonts w:ascii="Calibri" w:eastAsia="Times New Roman" w:hAnsi="Calibri" w:cs="Calibri"/>
          <w:color w:val="201F1E"/>
          <w:shd w:val="clear" w:color="auto" w:fill="FFFFFF"/>
          <w:lang w:eastAsia="en-GB"/>
        </w:rPr>
        <w:t>Green – there was an explicit assessment requirement to demonstrate the competency</w:t>
      </w:r>
    </w:p>
    <w:p w14:paraId="3037D379" w14:textId="1B6A9547" w:rsidR="00666FBD" w:rsidRPr="00666FBD" w:rsidRDefault="00666FBD" w:rsidP="00666FBD">
      <w:pPr>
        <w:rPr>
          <w:rFonts w:ascii="Calibri" w:eastAsia="Times New Roman" w:hAnsi="Calibri" w:cs="Calibri"/>
          <w:color w:val="201F1E"/>
          <w:shd w:val="clear" w:color="auto" w:fill="FFFFFF"/>
          <w:lang w:eastAsia="en-GB"/>
        </w:rPr>
      </w:pPr>
      <w:r w:rsidRPr="00666FBD">
        <w:rPr>
          <w:rFonts w:ascii="Calibri" w:eastAsia="Times New Roman" w:hAnsi="Calibri" w:cs="Calibri"/>
          <w:color w:val="201F1E"/>
          <w:shd w:val="clear" w:color="auto" w:fill="FFFFFF"/>
          <w:lang w:eastAsia="en-GB"/>
        </w:rPr>
        <w:t xml:space="preserve">Amber – where there was potential to demonstrate the competency through the </w:t>
      </w:r>
      <w:r w:rsidR="00D61577" w:rsidRPr="00666FBD">
        <w:rPr>
          <w:rFonts w:ascii="Calibri" w:eastAsia="Times New Roman" w:hAnsi="Calibri" w:cs="Calibri"/>
          <w:color w:val="201F1E"/>
          <w:shd w:val="clear" w:color="auto" w:fill="FFFFFF"/>
          <w:lang w:eastAsia="en-GB"/>
        </w:rPr>
        <w:t>assessment,</w:t>
      </w:r>
      <w:r w:rsidRPr="00666FBD">
        <w:rPr>
          <w:rFonts w:ascii="Calibri" w:eastAsia="Times New Roman" w:hAnsi="Calibri" w:cs="Calibri"/>
          <w:color w:val="201F1E"/>
          <w:shd w:val="clear" w:color="auto" w:fill="FFFFFF"/>
          <w:lang w:eastAsia="en-GB"/>
        </w:rPr>
        <w:t xml:space="preserve"> but it could be possible to meet the assessment requirement without demonstrating the competency.</w:t>
      </w:r>
    </w:p>
    <w:p w14:paraId="2B14E251" w14:textId="77777777" w:rsidR="00666FBD" w:rsidRPr="00666FBD" w:rsidRDefault="00666FBD" w:rsidP="00923F58">
      <w:pPr>
        <w:rPr>
          <w:rFonts w:ascii="Calibri" w:eastAsia="Times New Roman" w:hAnsi="Calibri" w:cs="Calibri"/>
          <w:color w:val="201F1E"/>
          <w:shd w:val="clear" w:color="auto" w:fill="FFFFFF"/>
          <w:lang w:eastAsia="en-GB"/>
        </w:rPr>
      </w:pPr>
    </w:p>
    <w:p w14:paraId="3442152D" w14:textId="77777777" w:rsidR="008B12DA" w:rsidRPr="008B12DA" w:rsidRDefault="008B12DA" w:rsidP="00923F58">
      <w:pPr>
        <w:rPr>
          <w:rFonts w:ascii="Calibri" w:eastAsia="Times New Roman" w:hAnsi="Calibri" w:cs="Calibri"/>
          <w:color w:val="201F1E"/>
          <w:shd w:val="clear" w:color="auto" w:fill="FFFFFF"/>
          <w:lang w:eastAsia="en-GB"/>
        </w:rPr>
      </w:pPr>
    </w:p>
    <w:p w14:paraId="3A988DC6" w14:textId="25FA9429" w:rsidR="00923F58" w:rsidRPr="00825E65" w:rsidRDefault="001D392C" w:rsidP="00923F58">
      <w:pPr>
        <w:rPr>
          <w:rFonts w:ascii="Calibri" w:eastAsia="Times New Roman" w:hAnsi="Calibri" w:cs="Calibri"/>
          <w:b/>
          <w:bCs/>
          <w:color w:val="201F1E"/>
          <w:shd w:val="clear" w:color="auto" w:fill="FFFFFF"/>
          <w:lang w:eastAsia="en-GB"/>
        </w:rPr>
      </w:pPr>
      <w:r w:rsidRPr="00825E65">
        <w:rPr>
          <w:rFonts w:ascii="Calibri" w:eastAsia="Times New Roman" w:hAnsi="Calibri" w:cs="Calibri"/>
          <w:b/>
          <w:bCs/>
          <w:color w:val="201F1E"/>
          <w:shd w:val="clear" w:color="auto" w:fill="FFFFFF"/>
          <w:lang w:eastAsia="en-GB"/>
        </w:rPr>
        <w:t xml:space="preserve">5/ </w:t>
      </w:r>
      <w:r w:rsidR="00923F58" w:rsidRPr="00825E65">
        <w:rPr>
          <w:rFonts w:ascii="Calibri" w:eastAsia="Times New Roman" w:hAnsi="Calibri" w:cs="Calibri"/>
          <w:b/>
          <w:bCs/>
          <w:color w:val="201F1E"/>
          <w:shd w:val="clear" w:color="auto" w:fill="FFFFFF"/>
          <w:lang w:eastAsia="en-GB"/>
        </w:rPr>
        <w:t>Were there any challenges</w:t>
      </w:r>
      <w:r w:rsidRPr="00825E65">
        <w:rPr>
          <w:rFonts w:ascii="Calibri" w:eastAsia="Times New Roman" w:hAnsi="Calibri" w:cs="Calibri"/>
          <w:b/>
          <w:bCs/>
          <w:color w:val="201F1E"/>
          <w:shd w:val="clear" w:color="auto" w:fill="FFFFFF"/>
          <w:lang w:eastAsia="en-GB"/>
        </w:rPr>
        <w:t xml:space="preserve"> or lessons learnt in using the </w:t>
      </w:r>
      <w:r w:rsidR="008B12DA" w:rsidRPr="00825E65">
        <w:rPr>
          <w:rFonts w:ascii="Calibri" w:eastAsia="Times New Roman" w:hAnsi="Calibri" w:cs="Calibri"/>
          <w:b/>
          <w:bCs/>
          <w:color w:val="201F1E"/>
          <w:shd w:val="clear" w:color="auto" w:fill="FFFFFF"/>
          <w:lang w:eastAsia="en-GB"/>
        </w:rPr>
        <w:t xml:space="preserve">NTG </w:t>
      </w:r>
      <w:r w:rsidRPr="00825E65">
        <w:rPr>
          <w:rFonts w:ascii="Calibri" w:eastAsia="Times New Roman" w:hAnsi="Calibri" w:cs="Calibri"/>
          <w:b/>
          <w:bCs/>
          <w:color w:val="201F1E"/>
          <w:shd w:val="clear" w:color="auto" w:fill="FFFFFF"/>
          <w:lang w:eastAsia="en-GB"/>
        </w:rPr>
        <w:t xml:space="preserve">toolkit? </w:t>
      </w:r>
    </w:p>
    <w:p w14:paraId="569E72AD" w14:textId="17A242F9" w:rsidR="008B12DA" w:rsidRDefault="008B12DA" w:rsidP="00923F58">
      <w:pPr>
        <w:rPr>
          <w:rFonts w:ascii="Calibri" w:eastAsia="Times New Roman" w:hAnsi="Calibri" w:cs="Calibri"/>
          <w:color w:val="201F1E"/>
          <w:shd w:val="clear" w:color="auto" w:fill="FFFFFF"/>
          <w:lang w:eastAsia="en-GB"/>
        </w:rPr>
      </w:pPr>
    </w:p>
    <w:p w14:paraId="5E262743" w14:textId="4A2BEB86" w:rsidR="00666FBD" w:rsidRPr="00666FBD" w:rsidRDefault="00666FBD" w:rsidP="00666FBD">
      <w:pPr>
        <w:rPr>
          <w:rFonts w:ascii="Calibri" w:eastAsia="Times New Roman" w:hAnsi="Calibri" w:cs="Calibri"/>
          <w:color w:val="201F1E"/>
          <w:shd w:val="clear" w:color="auto" w:fill="FFFFFF"/>
          <w:lang w:eastAsia="en-GB"/>
        </w:rPr>
      </w:pPr>
      <w:r w:rsidRPr="00666FBD">
        <w:rPr>
          <w:rFonts w:ascii="Calibri" w:eastAsia="Times New Roman" w:hAnsi="Calibri" w:cs="Calibri"/>
          <w:color w:val="201F1E"/>
          <w:shd w:val="clear" w:color="auto" w:fill="FFFFFF"/>
          <w:lang w:eastAsia="en-GB"/>
        </w:rPr>
        <w:t xml:space="preserve">For example, where a qualification </w:t>
      </w:r>
      <w:r w:rsidR="005D2C7B" w:rsidRPr="00666FBD">
        <w:rPr>
          <w:rFonts w:ascii="Calibri" w:eastAsia="Times New Roman" w:hAnsi="Calibri" w:cs="Calibri"/>
          <w:color w:val="201F1E"/>
          <w:shd w:val="clear" w:color="auto" w:fill="FFFFFF"/>
          <w:lang w:eastAsia="en-GB"/>
        </w:rPr>
        <w:t>refers</w:t>
      </w:r>
      <w:r w:rsidRPr="00666FBD">
        <w:rPr>
          <w:rFonts w:ascii="Calibri" w:eastAsia="Times New Roman" w:hAnsi="Calibri" w:cs="Calibri"/>
          <w:color w:val="201F1E"/>
          <w:shd w:val="clear" w:color="auto" w:fill="FFFFFF"/>
          <w:lang w:eastAsia="en-GB"/>
        </w:rPr>
        <w:t xml:space="preserve"> to gathering, </w:t>
      </w:r>
      <w:proofErr w:type="gramStart"/>
      <w:r w:rsidRPr="00666FBD">
        <w:rPr>
          <w:rFonts w:ascii="Calibri" w:eastAsia="Times New Roman" w:hAnsi="Calibri" w:cs="Calibri"/>
          <w:color w:val="201F1E"/>
          <w:shd w:val="clear" w:color="auto" w:fill="FFFFFF"/>
          <w:lang w:eastAsia="en-GB"/>
        </w:rPr>
        <w:t>recording</w:t>
      </w:r>
      <w:proofErr w:type="gramEnd"/>
      <w:r w:rsidRPr="00666FBD">
        <w:rPr>
          <w:rFonts w:ascii="Calibri" w:eastAsia="Times New Roman" w:hAnsi="Calibri" w:cs="Calibri"/>
          <w:color w:val="201F1E"/>
          <w:shd w:val="clear" w:color="auto" w:fill="FFFFFF"/>
          <w:lang w:eastAsia="en-GB"/>
        </w:rPr>
        <w:t xml:space="preserve"> and storing information, there was an inference that this would contribute to the development of digital skills.  However, this was not clearly specified as the information could be in </w:t>
      </w:r>
      <w:r w:rsidR="00D61577" w:rsidRPr="00666FBD">
        <w:rPr>
          <w:rFonts w:ascii="Calibri" w:eastAsia="Times New Roman" w:hAnsi="Calibri" w:cs="Calibri"/>
          <w:color w:val="201F1E"/>
          <w:shd w:val="clear" w:color="auto" w:fill="FFFFFF"/>
          <w:lang w:eastAsia="en-GB"/>
        </w:rPr>
        <w:t xml:space="preserve">paper </w:t>
      </w:r>
      <w:r w:rsidR="00D61577">
        <w:rPr>
          <w:rFonts w:ascii="Calibri" w:eastAsia="Times New Roman" w:hAnsi="Calibri" w:cs="Calibri"/>
          <w:color w:val="201F1E"/>
          <w:shd w:val="clear" w:color="auto" w:fill="FFFFFF"/>
          <w:lang w:eastAsia="en-GB"/>
        </w:rPr>
        <w:t xml:space="preserve">format </w:t>
      </w:r>
      <w:r w:rsidRPr="00666FBD">
        <w:rPr>
          <w:rFonts w:ascii="Calibri" w:eastAsia="Times New Roman" w:hAnsi="Calibri" w:cs="Calibri"/>
          <w:color w:val="201F1E"/>
          <w:shd w:val="clear" w:color="auto" w:fill="FFFFFF"/>
          <w:lang w:eastAsia="en-GB"/>
        </w:rPr>
        <w:t>rather than digital formats.  Another example is where customer service skills were to be demonstrated.  This would necessitate the use of communication.  However, no specific communication requirements were mentioned.  In both cases, these would be recorded as amber.  Where a qualification had a requirement to maintain, clear and clean the bar area after service, this was an explicit assessment requirement and would be recorded as green.</w:t>
      </w:r>
    </w:p>
    <w:p w14:paraId="3DB4DA44" w14:textId="77777777" w:rsidR="00666FBD" w:rsidRPr="008B12DA" w:rsidRDefault="00666FBD" w:rsidP="00923F58">
      <w:pPr>
        <w:rPr>
          <w:rFonts w:ascii="Calibri" w:eastAsia="Times New Roman" w:hAnsi="Calibri" w:cs="Calibri"/>
          <w:color w:val="201F1E"/>
          <w:shd w:val="clear" w:color="auto" w:fill="FFFFFF"/>
          <w:lang w:eastAsia="en-GB"/>
        </w:rPr>
      </w:pPr>
    </w:p>
    <w:p w14:paraId="46F0020E" w14:textId="1912A930" w:rsidR="008B12DA" w:rsidRPr="00825E65" w:rsidRDefault="008B12DA" w:rsidP="00923F58">
      <w:pPr>
        <w:rPr>
          <w:rFonts w:ascii="Calibri" w:eastAsia="Times New Roman" w:hAnsi="Calibri" w:cs="Calibri"/>
          <w:b/>
          <w:bCs/>
          <w:color w:val="201F1E"/>
          <w:shd w:val="clear" w:color="auto" w:fill="FFFFFF"/>
          <w:lang w:eastAsia="en-GB"/>
        </w:rPr>
      </w:pPr>
      <w:r w:rsidRPr="00825E65">
        <w:rPr>
          <w:rFonts w:ascii="Calibri" w:eastAsia="Times New Roman" w:hAnsi="Calibri" w:cs="Calibri"/>
          <w:b/>
          <w:bCs/>
          <w:color w:val="201F1E"/>
          <w:shd w:val="clear" w:color="auto" w:fill="FFFFFF"/>
          <w:lang w:eastAsia="en-GB"/>
        </w:rPr>
        <w:t xml:space="preserve">6/ Have you any further reflections or recommendations? </w:t>
      </w:r>
    </w:p>
    <w:p w14:paraId="114299A7" w14:textId="7807AE64" w:rsidR="007843E4" w:rsidRDefault="007843E4" w:rsidP="00923F58">
      <w:pPr>
        <w:rPr>
          <w:rFonts w:ascii="Calibri" w:eastAsia="Times New Roman" w:hAnsi="Calibri" w:cs="Calibri"/>
          <w:color w:val="201F1E"/>
          <w:shd w:val="clear" w:color="auto" w:fill="FFFFFF"/>
          <w:lang w:eastAsia="en-GB"/>
        </w:rPr>
      </w:pPr>
    </w:p>
    <w:p w14:paraId="7FFCC9D9" w14:textId="349B0A5E" w:rsidR="007843E4" w:rsidRPr="00666FBD" w:rsidRDefault="00E30874" w:rsidP="00923F58">
      <w:pPr>
        <w:rPr>
          <w:rFonts w:ascii="Calibri" w:eastAsia="Times New Roman" w:hAnsi="Calibri" w:cs="Calibri"/>
          <w:color w:val="201F1E"/>
          <w:shd w:val="clear" w:color="auto" w:fill="FFFFFF"/>
          <w:lang w:eastAsia="en-GB"/>
        </w:rPr>
      </w:pPr>
      <w:r>
        <w:rPr>
          <w:rFonts w:ascii="Calibri" w:eastAsia="Times New Roman" w:hAnsi="Calibri" w:cs="Calibri"/>
          <w:color w:val="201F1E"/>
          <w:shd w:val="clear" w:color="auto" w:fill="FFFFFF"/>
          <w:lang w:eastAsia="en-GB"/>
        </w:rPr>
        <w:t xml:space="preserve">The </w:t>
      </w:r>
      <w:r w:rsidR="007A7613">
        <w:rPr>
          <w:rFonts w:ascii="Calibri" w:eastAsia="Times New Roman" w:hAnsi="Calibri" w:cs="Calibri"/>
          <w:color w:val="201F1E"/>
          <w:shd w:val="clear" w:color="auto" w:fill="FFFFFF"/>
          <w:lang w:eastAsia="en-GB"/>
        </w:rPr>
        <w:t>S</w:t>
      </w:r>
      <w:r>
        <w:rPr>
          <w:rFonts w:ascii="Calibri" w:eastAsia="Times New Roman" w:hAnsi="Calibri" w:cs="Calibri"/>
          <w:color w:val="201F1E"/>
          <w:shd w:val="clear" w:color="auto" w:fill="FFFFFF"/>
          <w:lang w:eastAsia="en-GB"/>
        </w:rPr>
        <w:t xml:space="preserve">ector </w:t>
      </w:r>
      <w:r w:rsidR="007A7613">
        <w:rPr>
          <w:rFonts w:ascii="Calibri" w:eastAsia="Times New Roman" w:hAnsi="Calibri" w:cs="Calibri"/>
          <w:color w:val="201F1E"/>
          <w:shd w:val="clear" w:color="auto" w:fill="FFFFFF"/>
          <w:lang w:eastAsia="en-GB"/>
        </w:rPr>
        <w:t>R</w:t>
      </w:r>
      <w:r>
        <w:rPr>
          <w:rFonts w:ascii="Calibri" w:eastAsia="Times New Roman" w:hAnsi="Calibri" w:cs="Calibri"/>
          <w:color w:val="201F1E"/>
          <w:shd w:val="clear" w:color="auto" w:fill="FFFFFF"/>
          <w:lang w:eastAsia="en-GB"/>
        </w:rPr>
        <w:t xml:space="preserve">eview Team are planning for the next phase of the review where qualification recommendations are being </w:t>
      </w:r>
      <w:r w:rsidR="007A7613">
        <w:rPr>
          <w:rFonts w:ascii="Calibri" w:eastAsia="Times New Roman" w:hAnsi="Calibri" w:cs="Calibri"/>
          <w:color w:val="201F1E"/>
          <w:shd w:val="clear" w:color="auto" w:fill="FFFFFF"/>
          <w:lang w:eastAsia="en-GB"/>
        </w:rPr>
        <w:t>finalised</w:t>
      </w:r>
      <w:r>
        <w:rPr>
          <w:rFonts w:ascii="Calibri" w:eastAsia="Times New Roman" w:hAnsi="Calibri" w:cs="Calibri"/>
          <w:color w:val="201F1E"/>
          <w:shd w:val="clear" w:color="auto" w:fill="FFFFFF"/>
          <w:lang w:eastAsia="en-GB"/>
        </w:rPr>
        <w:t xml:space="preserve">, </w:t>
      </w:r>
      <w:r w:rsidR="007A7613">
        <w:rPr>
          <w:rFonts w:ascii="Calibri" w:eastAsia="Times New Roman" w:hAnsi="Calibri" w:cs="Calibri"/>
          <w:color w:val="201F1E"/>
          <w:shd w:val="clear" w:color="auto" w:fill="FFFFFF"/>
          <w:lang w:eastAsia="en-GB"/>
        </w:rPr>
        <w:t xml:space="preserve">we welcome the support of Sheena </w:t>
      </w:r>
      <w:r w:rsidR="00D61577">
        <w:rPr>
          <w:rFonts w:ascii="Calibri" w:eastAsia="Times New Roman" w:hAnsi="Calibri" w:cs="Calibri"/>
          <w:color w:val="201F1E"/>
          <w:shd w:val="clear" w:color="auto" w:fill="FFFFFF"/>
          <w:lang w:eastAsia="en-GB"/>
        </w:rPr>
        <w:t xml:space="preserve">Carlisle </w:t>
      </w:r>
      <w:r w:rsidR="007A7613">
        <w:rPr>
          <w:rFonts w:ascii="Calibri" w:eastAsia="Times New Roman" w:hAnsi="Calibri" w:cs="Calibri"/>
          <w:color w:val="201F1E"/>
          <w:shd w:val="clear" w:color="auto" w:fill="FFFFFF"/>
          <w:lang w:eastAsia="en-GB"/>
        </w:rPr>
        <w:t xml:space="preserve">to be part of the </w:t>
      </w:r>
      <w:r w:rsidR="002216D5">
        <w:rPr>
          <w:rFonts w:ascii="Calibri" w:eastAsia="Times New Roman" w:hAnsi="Calibri" w:cs="Calibri"/>
          <w:color w:val="201F1E"/>
          <w:shd w:val="clear" w:color="auto" w:fill="FFFFFF"/>
          <w:lang w:eastAsia="en-GB"/>
        </w:rPr>
        <w:t xml:space="preserve">research in complying the </w:t>
      </w:r>
      <w:r w:rsidR="00C51F42">
        <w:rPr>
          <w:rFonts w:ascii="Calibri" w:eastAsia="Times New Roman" w:hAnsi="Calibri" w:cs="Calibri"/>
          <w:color w:val="201F1E"/>
          <w:shd w:val="clear" w:color="auto" w:fill="FFFFFF"/>
          <w:lang w:eastAsia="en-GB"/>
        </w:rPr>
        <w:t xml:space="preserve">recommendation section of the final report. </w:t>
      </w:r>
    </w:p>
    <w:p w14:paraId="7FE0D196" w14:textId="3A1106C1" w:rsidR="00923F58" w:rsidRDefault="00923F58"/>
    <w:sectPr w:rsidR="00923F58" w:rsidSect="00B1061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C7E38"/>
    <w:multiLevelType w:val="hybridMultilevel"/>
    <w:tmpl w:val="E536DFEE"/>
    <w:lvl w:ilvl="0" w:tplc="08090001">
      <w:start w:val="1"/>
      <w:numFmt w:val="bullet"/>
      <w:lvlText w:val=""/>
      <w:lvlJc w:val="left"/>
      <w:pPr>
        <w:ind w:left="3086" w:hanging="360"/>
      </w:pPr>
      <w:rPr>
        <w:rFonts w:ascii="Symbol" w:hAnsi="Symbol" w:hint="default"/>
      </w:rPr>
    </w:lvl>
    <w:lvl w:ilvl="1" w:tplc="08090003">
      <w:start w:val="1"/>
      <w:numFmt w:val="bullet"/>
      <w:lvlText w:val="o"/>
      <w:lvlJc w:val="left"/>
      <w:pPr>
        <w:ind w:left="3806" w:hanging="360"/>
      </w:pPr>
      <w:rPr>
        <w:rFonts w:ascii="Courier New" w:hAnsi="Courier New" w:cs="Courier New" w:hint="default"/>
      </w:rPr>
    </w:lvl>
    <w:lvl w:ilvl="2" w:tplc="08090005">
      <w:start w:val="1"/>
      <w:numFmt w:val="bullet"/>
      <w:lvlText w:val=""/>
      <w:lvlJc w:val="left"/>
      <w:pPr>
        <w:ind w:left="4526" w:hanging="360"/>
      </w:pPr>
      <w:rPr>
        <w:rFonts w:ascii="Wingdings" w:hAnsi="Wingdings" w:hint="default"/>
      </w:rPr>
    </w:lvl>
    <w:lvl w:ilvl="3" w:tplc="08090001">
      <w:start w:val="1"/>
      <w:numFmt w:val="bullet"/>
      <w:lvlText w:val=""/>
      <w:lvlJc w:val="left"/>
      <w:pPr>
        <w:ind w:left="5246" w:hanging="360"/>
      </w:pPr>
      <w:rPr>
        <w:rFonts w:ascii="Symbol" w:hAnsi="Symbol" w:hint="default"/>
      </w:rPr>
    </w:lvl>
    <w:lvl w:ilvl="4" w:tplc="08090003">
      <w:start w:val="1"/>
      <w:numFmt w:val="bullet"/>
      <w:lvlText w:val="o"/>
      <w:lvlJc w:val="left"/>
      <w:pPr>
        <w:ind w:left="5966" w:hanging="360"/>
      </w:pPr>
      <w:rPr>
        <w:rFonts w:ascii="Courier New" w:hAnsi="Courier New" w:cs="Courier New" w:hint="default"/>
      </w:rPr>
    </w:lvl>
    <w:lvl w:ilvl="5" w:tplc="08090005">
      <w:start w:val="1"/>
      <w:numFmt w:val="bullet"/>
      <w:lvlText w:val=""/>
      <w:lvlJc w:val="left"/>
      <w:pPr>
        <w:ind w:left="6686" w:hanging="360"/>
      </w:pPr>
      <w:rPr>
        <w:rFonts w:ascii="Wingdings" w:hAnsi="Wingdings" w:hint="default"/>
      </w:rPr>
    </w:lvl>
    <w:lvl w:ilvl="6" w:tplc="08090001">
      <w:start w:val="1"/>
      <w:numFmt w:val="bullet"/>
      <w:lvlText w:val=""/>
      <w:lvlJc w:val="left"/>
      <w:pPr>
        <w:ind w:left="7406" w:hanging="360"/>
      </w:pPr>
      <w:rPr>
        <w:rFonts w:ascii="Symbol" w:hAnsi="Symbol" w:hint="default"/>
      </w:rPr>
    </w:lvl>
    <w:lvl w:ilvl="7" w:tplc="08090003">
      <w:start w:val="1"/>
      <w:numFmt w:val="bullet"/>
      <w:lvlText w:val="o"/>
      <w:lvlJc w:val="left"/>
      <w:pPr>
        <w:ind w:left="8126" w:hanging="360"/>
      </w:pPr>
      <w:rPr>
        <w:rFonts w:ascii="Courier New" w:hAnsi="Courier New" w:cs="Courier New" w:hint="default"/>
      </w:rPr>
    </w:lvl>
    <w:lvl w:ilvl="8" w:tplc="08090005">
      <w:start w:val="1"/>
      <w:numFmt w:val="bullet"/>
      <w:lvlText w:val=""/>
      <w:lvlJc w:val="left"/>
      <w:pPr>
        <w:ind w:left="8846" w:hanging="360"/>
      </w:pPr>
      <w:rPr>
        <w:rFonts w:ascii="Wingdings" w:hAnsi="Wingdings" w:hint="default"/>
      </w:rPr>
    </w:lvl>
  </w:abstractNum>
  <w:abstractNum w:abstractNumId="1" w15:restartNumberingAfterBreak="0">
    <w:nsid w:val="2D625794"/>
    <w:multiLevelType w:val="hybridMultilevel"/>
    <w:tmpl w:val="4628D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6332EA"/>
    <w:multiLevelType w:val="multilevel"/>
    <w:tmpl w:val="D1508102"/>
    <w:lvl w:ilvl="0">
      <w:start w:val="1"/>
      <w:numFmt w:val="decimal"/>
      <w:lvlText w:val="%1."/>
      <w:lvlJc w:val="left"/>
      <w:pPr>
        <w:ind w:left="360" w:hanging="360"/>
      </w:pPr>
      <w:rPr>
        <w:b/>
        <w:color w:val="006272"/>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0797EC9"/>
    <w:multiLevelType w:val="multilevel"/>
    <w:tmpl w:val="83F24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4F255D"/>
    <w:multiLevelType w:val="multilevel"/>
    <w:tmpl w:val="31969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471B39"/>
    <w:multiLevelType w:val="hybridMultilevel"/>
    <w:tmpl w:val="0944CD30"/>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75552178"/>
    <w:multiLevelType w:val="multilevel"/>
    <w:tmpl w:val="4AE80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F55A66"/>
    <w:multiLevelType w:val="multilevel"/>
    <w:tmpl w:val="95F2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4"/>
  </w:num>
  <w:num w:numId="4">
    <w:abstractNumId w:val="7"/>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106"/>
    <w:rsid w:val="000F3EEB"/>
    <w:rsid w:val="000F5751"/>
    <w:rsid w:val="001D392C"/>
    <w:rsid w:val="00202025"/>
    <w:rsid w:val="002216D5"/>
    <w:rsid w:val="002B3106"/>
    <w:rsid w:val="004B5A76"/>
    <w:rsid w:val="00582296"/>
    <w:rsid w:val="005D2C7B"/>
    <w:rsid w:val="00666FBD"/>
    <w:rsid w:val="00700791"/>
    <w:rsid w:val="007843E4"/>
    <w:rsid w:val="007A7613"/>
    <w:rsid w:val="007A7D5C"/>
    <w:rsid w:val="00825E65"/>
    <w:rsid w:val="008B12DA"/>
    <w:rsid w:val="008F19B8"/>
    <w:rsid w:val="00923F58"/>
    <w:rsid w:val="009B38E1"/>
    <w:rsid w:val="00B1061E"/>
    <w:rsid w:val="00BC6D47"/>
    <w:rsid w:val="00BF179C"/>
    <w:rsid w:val="00C51F42"/>
    <w:rsid w:val="00D61577"/>
    <w:rsid w:val="00D804C2"/>
    <w:rsid w:val="00E30874"/>
    <w:rsid w:val="00E70D13"/>
    <w:rsid w:val="00F14D48"/>
    <w:rsid w:val="00FA263F"/>
    <w:rsid w:val="00FC0609"/>
    <w:rsid w:val="00FC1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2C749"/>
  <w15:chartTrackingRefBased/>
  <w15:docId w15:val="{E4995395-82B1-4B45-861E-80AB2B1E8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106"/>
  </w:style>
  <w:style w:type="paragraph" w:styleId="Heading2">
    <w:name w:val="heading 2"/>
    <w:basedOn w:val="Normal"/>
    <w:link w:val="Heading2Char"/>
    <w:uiPriority w:val="9"/>
    <w:qFormat/>
    <w:rsid w:val="00BF179C"/>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106"/>
    <w:pPr>
      <w:ind w:left="720"/>
      <w:contextualSpacing/>
    </w:pPr>
  </w:style>
  <w:style w:type="character" w:customStyle="1" w:styleId="apple-converted-space">
    <w:name w:val="apple-converted-space"/>
    <w:basedOn w:val="DefaultParagraphFont"/>
    <w:rsid w:val="002B3106"/>
  </w:style>
  <w:style w:type="character" w:styleId="Hyperlink">
    <w:name w:val="Hyperlink"/>
    <w:basedOn w:val="DefaultParagraphFont"/>
    <w:uiPriority w:val="99"/>
    <w:unhideWhenUsed/>
    <w:rsid w:val="002B3106"/>
    <w:rPr>
      <w:color w:val="0563C1" w:themeColor="hyperlink"/>
      <w:u w:val="single"/>
    </w:rPr>
  </w:style>
  <w:style w:type="paragraph" w:styleId="NormalWeb">
    <w:name w:val="Normal (Web)"/>
    <w:basedOn w:val="Normal"/>
    <w:uiPriority w:val="99"/>
    <w:unhideWhenUsed/>
    <w:qFormat/>
    <w:rsid w:val="002B3106"/>
    <w:pPr>
      <w:spacing w:before="100" w:beforeAutospacing="1" w:after="100" w:afterAutospacing="1"/>
    </w:pPr>
    <w:rPr>
      <w:rFonts w:ascii="Times New Roman" w:eastAsia="Times New Roman" w:hAnsi="Times New Roman" w:cs="Times New Roman"/>
      <w:lang w:eastAsia="en-GB"/>
    </w:rPr>
  </w:style>
  <w:style w:type="paragraph" w:customStyle="1" w:styleId="lead">
    <w:name w:val="lead"/>
    <w:basedOn w:val="Normal"/>
    <w:rsid w:val="002B3106"/>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2B3106"/>
    <w:rPr>
      <w:b/>
      <w:bCs/>
    </w:rPr>
  </w:style>
  <w:style w:type="character" w:customStyle="1" w:styleId="Heading2Char">
    <w:name w:val="Heading 2 Char"/>
    <w:basedOn w:val="DefaultParagraphFont"/>
    <w:link w:val="Heading2"/>
    <w:uiPriority w:val="9"/>
    <w:rsid w:val="00BF179C"/>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411">
      <w:bodyDiv w:val="1"/>
      <w:marLeft w:val="0"/>
      <w:marRight w:val="0"/>
      <w:marTop w:val="0"/>
      <w:marBottom w:val="0"/>
      <w:divBdr>
        <w:top w:val="none" w:sz="0" w:space="0" w:color="auto"/>
        <w:left w:val="none" w:sz="0" w:space="0" w:color="auto"/>
        <w:bottom w:val="none" w:sz="0" w:space="0" w:color="auto"/>
        <w:right w:val="none" w:sz="0" w:space="0" w:color="auto"/>
      </w:divBdr>
    </w:div>
    <w:div w:id="144976051">
      <w:bodyDiv w:val="1"/>
      <w:marLeft w:val="0"/>
      <w:marRight w:val="0"/>
      <w:marTop w:val="0"/>
      <w:marBottom w:val="0"/>
      <w:divBdr>
        <w:top w:val="none" w:sz="0" w:space="0" w:color="auto"/>
        <w:left w:val="none" w:sz="0" w:space="0" w:color="auto"/>
        <w:bottom w:val="none" w:sz="0" w:space="0" w:color="auto"/>
        <w:right w:val="none" w:sz="0" w:space="0" w:color="auto"/>
      </w:divBdr>
    </w:div>
    <w:div w:id="147649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B6B4895A71B343B57F89AA7E34EF55" ma:contentTypeVersion="12" ma:contentTypeDescription="Create a new document." ma:contentTypeScope="" ma:versionID="4b503d73d833bb2821171b18f70accff">
  <xsd:schema xmlns:xsd="http://www.w3.org/2001/XMLSchema" xmlns:xs="http://www.w3.org/2001/XMLSchema" xmlns:p="http://schemas.microsoft.com/office/2006/metadata/properties" xmlns:ns2="6b8280fa-e49a-49ee-a788-f51dcc920bde" xmlns:ns3="14792270-34af-4b5b-a195-b670bfb791c2" targetNamespace="http://schemas.microsoft.com/office/2006/metadata/properties" ma:root="true" ma:fieldsID="6bce93013097165b1d0b8752b73c816d" ns2:_="" ns3:_="">
    <xsd:import namespace="6b8280fa-e49a-49ee-a788-f51dcc920bde"/>
    <xsd:import namespace="14792270-34af-4b5b-a195-b670bfb791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280fa-e49a-49ee-a788-f51dcc920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792270-34af-4b5b-a195-b670bfb791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154948-C61D-428D-89E1-CD12680AF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280fa-e49a-49ee-a788-f51dcc920bde"/>
    <ds:schemaRef ds:uri="14792270-34af-4b5b-a195-b670bfb791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8B814-4B8E-4F8E-9C95-5A9F9AFF1580}">
  <ds:schemaRefs>
    <ds:schemaRef ds:uri="http://schemas.microsoft.com/sharepoint/v3/contenttype/forms"/>
  </ds:schemaRefs>
</ds:datastoreItem>
</file>

<file path=customXml/itemProps3.xml><?xml version="1.0" encoding="utf-8"?>
<ds:datastoreItem xmlns:ds="http://schemas.openxmlformats.org/officeDocument/2006/customXml" ds:itemID="{3AB773C6-5474-48AD-93AF-F29F62F264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Carlisle, Sheena</dc:creator>
  <cp:keywords/>
  <dc:description/>
  <cp:lastModifiedBy>Carlisle, Sheena</cp:lastModifiedBy>
  <cp:revision>3</cp:revision>
  <dcterms:created xsi:type="dcterms:W3CDTF">2022-05-19T17:40:00Z</dcterms:created>
  <dcterms:modified xsi:type="dcterms:W3CDTF">2022-05-23T12:40:00Z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0x0101005AB6B4895A71B343B57F89AA7E34EF55</vt:lpwstr>
  </property>
</Properties>
</file>