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9E8DC" w14:textId="77777777" w:rsidR="00403F8A" w:rsidRDefault="00403F8A" w:rsidP="00DF17B7">
      <w:pPr>
        <w:ind w:left="720" w:hanging="360"/>
      </w:pPr>
    </w:p>
    <w:p w14:paraId="3CE24B83" w14:textId="77777777" w:rsidR="0049061E" w:rsidRDefault="0049061E" w:rsidP="00403F8A">
      <w:pPr>
        <w:jc w:val="center"/>
        <w:rPr>
          <w:rFonts w:cstheme="minorHAnsi"/>
          <w:b/>
          <w:color w:val="1E286E"/>
          <w:sz w:val="32"/>
          <w:szCs w:val="32"/>
        </w:rPr>
      </w:pPr>
      <w:r>
        <w:rPr>
          <w:rFonts w:cstheme="minorHAnsi"/>
          <w:b/>
          <w:noProof/>
          <w:color w:val="1E286E"/>
          <w:sz w:val="32"/>
          <w:szCs w:val="32"/>
        </w:rPr>
        <w:drawing>
          <wp:inline distT="0" distB="0" distL="0" distR="0" wp14:anchorId="392E16E1" wp14:editId="53D9C4CB">
            <wp:extent cx="1293876" cy="842416"/>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1311824" cy="854102"/>
                    </a:xfrm>
                    <a:prstGeom prst="rect">
                      <a:avLst/>
                    </a:prstGeom>
                  </pic:spPr>
                </pic:pic>
              </a:graphicData>
            </a:graphic>
          </wp:inline>
        </w:drawing>
      </w:r>
    </w:p>
    <w:p w14:paraId="19D0BB50" w14:textId="77777777" w:rsidR="0049061E" w:rsidRDefault="00403F8A" w:rsidP="00403F8A">
      <w:pPr>
        <w:jc w:val="center"/>
        <w:rPr>
          <w:rFonts w:cstheme="minorHAnsi"/>
          <w:b/>
          <w:color w:val="1E286E"/>
          <w:sz w:val="32"/>
          <w:szCs w:val="32"/>
        </w:rPr>
      </w:pPr>
      <w:r>
        <w:rPr>
          <w:rFonts w:cstheme="minorHAnsi"/>
          <w:b/>
          <w:color w:val="1E286E"/>
          <w:sz w:val="32"/>
          <w:szCs w:val="32"/>
        </w:rPr>
        <w:t xml:space="preserve">Toolkit </w:t>
      </w:r>
      <w:r w:rsidRPr="000D20C9">
        <w:rPr>
          <w:rFonts w:cstheme="minorHAnsi"/>
          <w:b/>
          <w:color w:val="1E286E"/>
          <w:sz w:val="32"/>
          <w:szCs w:val="32"/>
        </w:rPr>
        <w:t xml:space="preserve">Case Study </w:t>
      </w:r>
      <w:r>
        <w:rPr>
          <w:rFonts w:cstheme="minorHAnsi"/>
          <w:b/>
          <w:color w:val="1E286E"/>
          <w:sz w:val="32"/>
          <w:szCs w:val="32"/>
        </w:rPr>
        <w:t>of Practice</w:t>
      </w:r>
      <w:r w:rsidR="0049061E">
        <w:rPr>
          <w:rFonts w:cstheme="minorHAnsi"/>
          <w:b/>
          <w:color w:val="1E286E"/>
          <w:sz w:val="32"/>
          <w:szCs w:val="32"/>
        </w:rPr>
        <w:t xml:space="preserve">: </w:t>
      </w:r>
    </w:p>
    <w:p w14:paraId="7898CF98" w14:textId="35B13361" w:rsidR="00403F8A" w:rsidRPr="0049061E" w:rsidRDefault="0049061E" w:rsidP="0049061E">
      <w:pPr>
        <w:jc w:val="center"/>
        <w:rPr>
          <w:rFonts w:cstheme="minorHAnsi"/>
          <w:b/>
          <w:color w:val="1E286E"/>
          <w:sz w:val="32"/>
          <w:szCs w:val="32"/>
        </w:rPr>
      </w:pPr>
      <w:r>
        <w:rPr>
          <w:rFonts w:cstheme="minorHAnsi"/>
          <w:b/>
          <w:color w:val="1E286E"/>
          <w:sz w:val="32"/>
          <w:szCs w:val="32"/>
        </w:rPr>
        <w:t>Developing transferable skills for undergraduate tourism</w:t>
      </w:r>
      <w:r w:rsidR="00154E0C">
        <w:rPr>
          <w:rFonts w:cstheme="minorHAnsi"/>
          <w:b/>
          <w:color w:val="1E286E"/>
          <w:sz w:val="32"/>
          <w:szCs w:val="32"/>
        </w:rPr>
        <w:t xml:space="preserve">, </w:t>
      </w:r>
      <w:proofErr w:type="gramStart"/>
      <w:r w:rsidR="00154E0C">
        <w:rPr>
          <w:rFonts w:cstheme="minorHAnsi"/>
          <w:b/>
          <w:color w:val="1E286E"/>
          <w:sz w:val="32"/>
          <w:szCs w:val="32"/>
        </w:rPr>
        <w:t>hospitality</w:t>
      </w:r>
      <w:proofErr w:type="gramEnd"/>
      <w:r w:rsidR="00154E0C">
        <w:rPr>
          <w:rFonts w:cstheme="minorHAnsi"/>
          <w:b/>
          <w:color w:val="1E286E"/>
          <w:sz w:val="32"/>
          <w:szCs w:val="32"/>
        </w:rPr>
        <w:t xml:space="preserve"> and events</w:t>
      </w:r>
      <w:r>
        <w:rPr>
          <w:rFonts w:cstheme="minorHAnsi"/>
          <w:b/>
          <w:color w:val="1E286E"/>
          <w:sz w:val="32"/>
          <w:szCs w:val="32"/>
        </w:rPr>
        <w:t xml:space="preserve"> students</w:t>
      </w:r>
      <w:r w:rsidR="00403F8A">
        <w:rPr>
          <w:rFonts w:cstheme="minorHAnsi"/>
          <w:b/>
          <w:color w:val="1E286E"/>
          <w:sz w:val="32"/>
          <w:szCs w:val="32"/>
        </w:rPr>
        <w:t xml:space="preserve"> </w:t>
      </w:r>
    </w:p>
    <w:p w14:paraId="3762B705" w14:textId="5A2FD8B0" w:rsidR="00DF17B7" w:rsidRPr="00F76E0B" w:rsidRDefault="00DF17B7" w:rsidP="00B62E2F">
      <w:pPr>
        <w:pStyle w:val="ListParagraph"/>
        <w:numPr>
          <w:ilvl w:val="0"/>
          <w:numId w:val="1"/>
        </w:numPr>
        <w:rPr>
          <w:b/>
          <w:bCs/>
          <w:sz w:val="24"/>
          <w:szCs w:val="24"/>
        </w:rPr>
      </w:pPr>
      <w:r w:rsidRPr="00F76E0B">
        <w:rPr>
          <w:b/>
          <w:bCs/>
          <w:sz w:val="24"/>
          <w:szCs w:val="24"/>
        </w:rPr>
        <w:t xml:space="preserve">Organisation name and brief explanation of purpose </w:t>
      </w:r>
    </w:p>
    <w:p w14:paraId="67772B50" w14:textId="420B61D4" w:rsidR="00154E0C" w:rsidRDefault="00DF17B7" w:rsidP="00154E0C">
      <w:pPr>
        <w:shd w:val="clear" w:color="auto" w:fill="FFFFFF"/>
        <w:textAlignment w:val="baseline"/>
        <w:rPr>
          <w:sz w:val="24"/>
          <w:szCs w:val="24"/>
        </w:rPr>
      </w:pPr>
      <w:r w:rsidRPr="00F76E0B">
        <w:rPr>
          <w:sz w:val="24"/>
          <w:szCs w:val="24"/>
        </w:rPr>
        <w:t>T</w:t>
      </w:r>
      <w:r w:rsidR="00501A54" w:rsidRPr="00F76E0B">
        <w:rPr>
          <w:sz w:val="24"/>
          <w:szCs w:val="24"/>
        </w:rPr>
        <w:t>echnological University of Dublin</w:t>
      </w:r>
      <w:r w:rsidR="00154E0C">
        <w:rPr>
          <w:sz w:val="24"/>
          <w:szCs w:val="24"/>
        </w:rPr>
        <w:t xml:space="preserve">, School of Hospitality </w:t>
      </w:r>
      <w:r w:rsidR="000B54F7">
        <w:rPr>
          <w:sz w:val="24"/>
          <w:szCs w:val="24"/>
        </w:rPr>
        <w:t xml:space="preserve">and Tourism </w:t>
      </w:r>
      <w:r w:rsidR="00154E0C">
        <w:rPr>
          <w:sz w:val="24"/>
          <w:szCs w:val="24"/>
        </w:rPr>
        <w:t>Management. The following undergraduate programmes adopted the transferable skills module which used the toolkit to develop core content:</w:t>
      </w:r>
    </w:p>
    <w:p w14:paraId="6EF2CB0B" w14:textId="77777777" w:rsidR="00154E0C" w:rsidRPr="000B54F7" w:rsidRDefault="00154E0C" w:rsidP="00154E0C">
      <w:pPr>
        <w:pStyle w:val="ListParagraph"/>
        <w:numPr>
          <w:ilvl w:val="0"/>
          <w:numId w:val="2"/>
        </w:numPr>
        <w:shd w:val="clear" w:color="auto" w:fill="FFFFFF"/>
        <w:textAlignment w:val="baseline"/>
        <w:rPr>
          <w:rFonts w:eastAsia="Times New Roman" w:cstheme="minorHAnsi"/>
          <w:color w:val="000000"/>
          <w:sz w:val="24"/>
          <w:szCs w:val="24"/>
          <w:lang w:eastAsia="en-GB"/>
        </w:rPr>
      </w:pPr>
      <w:r w:rsidRPr="000B54F7">
        <w:rPr>
          <w:rFonts w:eastAsia="Times New Roman" w:cstheme="minorHAnsi"/>
          <w:color w:val="000000"/>
          <w:sz w:val="24"/>
          <w:szCs w:val="24"/>
          <w:bdr w:val="none" w:sz="0" w:space="0" w:color="auto" w:frame="1"/>
          <w:shd w:val="clear" w:color="auto" w:fill="FFFFFF"/>
          <w:lang w:eastAsia="en-GB"/>
        </w:rPr>
        <w:t>BSc (Hons) International Hospitality Management</w:t>
      </w:r>
    </w:p>
    <w:p w14:paraId="4FD7BCE9" w14:textId="6885C566" w:rsidR="00154E0C" w:rsidRPr="000B54F7" w:rsidRDefault="00154E0C" w:rsidP="00154E0C">
      <w:pPr>
        <w:pStyle w:val="ListParagraph"/>
        <w:numPr>
          <w:ilvl w:val="0"/>
          <w:numId w:val="2"/>
        </w:numPr>
        <w:shd w:val="clear" w:color="auto" w:fill="FFFFFF"/>
        <w:textAlignment w:val="baseline"/>
        <w:rPr>
          <w:rFonts w:eastAsia="Times New Roman" w:cstheme="minorHAnsi"/>
          <w:color w:val="000000"/>
          <w:sz w:val="24"/>
          <w:szCs w:val="24"/>
          <w:lang w:eastAsia="en-GB"/>
        </w:rPr>
      </w:pPr>
      <w:r w:rsidRPr="000B54F7">
        <w:rPr>
          <w:rFonts w:eastAsia="Times New Roman" w:cstheme="minorHAnsi"/>
          <w:color w:val="000000"/>
          <w:sz w:val="24"/>
          <w:szCs w:val="24"/>
          <w:bdr w:val="none" w:sz="0" w:space="0" w:color="auto" w:frame="1"/>
          <w:lang w:eastAsia="en-GB"/>
        </w:rPr>
        <w:t>BA Hospitality Management</w:t>
      </w:r>
    </w:p>
    <w:p w14:paraId="22771522" w14:textId="77777777" w:rsidR="00154E0C" w:rsidRPr="000B54F7" w:rsidRDefault="00154E0C" w:rsidP="00154E0C">
      <w:pPr>
        <w:pStyle w:val="ListParagraph"/>
        <w:numPr>
          <w:ilvl w:val="0"/>
          <w:numId w:val="2"/>
        </w:numPr>
        <w:shd w:val="clear" w:color="auto" w:fill="FFFFFF"/>
        <w:spacing w:after="0" w:line="240" w:lineRule="auto"/>
        <w:textAlignment w:val="baseline"/>
        <w:rPr>
          <w:rFonts w:eastAsia="Times New Roman" w:cstheme="minorHAnsi"/>
          <w:color w:val="000000"/>
          <w:sz w:val="24"/>
          <w:szCs w:val="24"/>
          <w:lang w:eastAsia="en-GB"/>
        </w:rPr>
      </w:pPr>
      <w:r w:rsidRPr="000B54F7">
        <w:rPr>
          <w:rFonts w:eastAsia="Times New Roman" w:cstheme="minorHAnsi"/>
          <w:color w:val="000000"/>
          <w:sz w:val="24"/>
          <w:szCs w:val="24"/>
          <w:bdr w:val="none" w:sz="0" w:space="0" w:color="auto" w:frame="1"/>
          <w:lang w:eastAsia="en-GB"/>
        </w:rPr>
        <w:t>BA Tourism Management</w:t>
      </w:r>
    </w:p>
    <w:p w14:paraId="4D726EB3" w14:textId="77777777" w:rsidR="00154E0C" w:rsidRPr="000B54F7" w:rsidRDefault="00154E0C" w:rsidP="00154E0C">
      <w:pPr>
        <w:pStyle w:val="ListParagraph"/>
        <w:numPr>
          <w:ilvl w:val="0"/>
          <w:numId w:val="2"/>
        </w:numPr>
        <w:shd w:val="clear" w:color="auto" w:fill="FFFFFF"/>
        <w:spacing w:after="0" w:line="240" w:lineRule="auto"/>
        <w:textAlignment w:val="baseline"/>
        <w:rPr>
          <w:rFonts w:eastAsia="Times New Roman" w:cstheme="minorHAnsi"/>
          <w:color w:val="000000"/>
          <w:sz w:val="24"/>
          <w:szCs w:val="24"/>
          <w:lang w:eastAsia="en-GB"/>
        </w:rPr>
      </w:pPr>
      <w:r w:rsidRPr="000B54F7">
        <w:rPr>
          <w:rFonts w:eastAsia="Times New Roman" w:cstheme="minorHAnsi"/>
          <w:color w:val="000000"/>
          <w:sz w:val="24"/>
          <w:szCs w:val="24"/>
          <w:bdr w:val="none" w:sz="0" w:space="0" w:color="auto" w:frame="1"/>
          <w:lang w:eastAsia="en-GB"/>
        </w:rPr>
        <w:t>BSc (Hons) Event Management</w:t>
      </w:r>
    </w:p>
    <w:p w14:paraId="3A0DAF74" w14:textId="77777777" w:rsidR="00154E0C" w:rsidRPr="000B54F7" w:rsidRDefault="00154E0C" w:rsidP="00154E0C">
      <w:pPr>
        <w:pStyle w:val="ListParagraph"/>
        <w:numPr>
          <w:ilvl w:val="0"/>
          <w:numId w:val="2"/>
        </w:numPr>
        <w:shd w:val="clear" w:color="auto" w:fill="FFFFFF"/>
        <w:spacing w:after="0" w:line="240" w:lineRule="auto"/>
        <w:textAlignment w:val="baseline"/>
        <w:rPr>
          <w:rFonts w:eastAsia="Times New Roman" w:cstheme="minorHAnsi"/>
          <w:color w:val="000000"/>
          <w:sz w:val="24"/>
          <w:szCs w:val="24"/>
          <w:lang w:eastAsia="en-GB"/>
        </w:rPr>
      </w:pPr>
      <w:r w:rsidRPr="000B54F7">
        <w:rPr>
          <w:rFonts w:eastAsia="Times New Roman" w:cstheme="minorHAnsi"/>
          <w:color w:val="000000"/>
          <w:sz w:val="24"/>
          <w:szCs w:val="24"/>
          <w:bdr w:val="none" w:sz="0" w:space="0" w:color="auto" w:frame="1"/>
          <w:shd w:val="clear" w:color="auto" w:fill="FFFFFF"/>
          <w:lang w:eastAsia="en-GB"/>
        </w:rPr>
        <w:t>BSc (Hons) Tourism and Digital Marketing</w:t>
      </w:r>
    </w:p>
    <w:p w14:paraId="3A10DA98" w14:textId="77777777" w:rsidR="00154E0C" w:rsidRPr="000B54F7" w:rsidRDefault="00154E0C" w:rsidP="00154E0C">
      <w:pPr>
        <w:pStyle w:val="ListParagraph"/>
        <w:numPr>
          <w:ilvl w:val="0"/>
          <w:numId w:val="2"/>
        </w:numPr>
        <w:shd w:val="clear" w:color="auto" w:fill="FFFFFF"/>
        <w:spacing w:after="0" w:line="240" w:lineRule="auto"/>
        <w:textAlignment w:val="baseline"/>
        <w:rPr>
          <w:rFonts w:eastAsia="Times New Roman" w:cstheme="minorHAnsi"/>
          <w:color w:val="000000"/>
          <w:sz w:val="24"/>
          <w:szCs w:val="24"/>
          <w:lang w:eastAsia="en-GB"/>
        </w:rPr>
      </w:pPr>
      <w:r w:rsidRPr="000B54F7">
        <w:rPr>
          <w:rFonts w:eastAsia="Times New Roman" w:cstheme="minorHAnsi"/>
          <w:color w:val="000000"/>
          <w:sz w:val="24"/>
          <w:szCs w:val="24"/>
          <w:bdr w:val="none" w:sz="0" w:space="0" w:color="auto" w:frame="1"/>
          <w:shd w:val="clear" w:color="auto" w:fill="FFFFFF"/>
          <w:lang w:eastAsia="en-GB"/>
        </w:rPr>
        <w:t>BA Languages and International Tourism</w:t>
      </w:r>
    </w:p>
    <w:p w14:paraId="18D000A2" w14:textId="0A1E4E3B" w:rsidR="00154E0C" w:rsidRPr="000B54F7" w:rsidRDefault="00154E0C" w:rsidP="00154E0C">
      <w:pPr>
        <w:shd w:val="clear" w:color="auto" w:fill="FFFFFF"/>
        <w:spacing w:after="0" w:line="240" w:lineRule="auto"/>
        <w:textAlignment w:val="baseline"/>
        <w:rPr>
          <w:rFonts w:eastAsia="Times New Roman" w:cstheme="minorHAnsi"/>
          <w:color w:val="000000"/>
          <w:sz w:val="24"/>
          <w:szCs w:val="24"/>
          <w:lang w:eastAsia="en-GB"/>
        </w:rPr>
      </w:pPr>
    </w:p>
    <w:p w14:paraId="494366BF" w14:textId="08863444" w:rsidR="00DF17B7" w:rsidRPr="00154E0C" w:rsidRDefault="00DF17B7" w:rsidP="00154E0C">
      <w:pPr>
        <w:pStyle w:val="ListParagraph"/>
        <w:numPr>
          <w:ilvl w:val="0"/>
          <w:numId w:val="1"/>
        </w:numPr>
        <w:rPr>
          <w:b/>
          <w:bCs/>
          <w:sz w:val="24"/>
          <w:szCs w:val="24"/>
        </w:rPr>
      </w:pPr>
      <w:r w:rsidRPr="00154E0C">
        <w:rPr>
          <w:b/>
          <w:bCs/>
          <w:sz w:val="24"/>
          <w:szCs w:val="24"/>
        </w:rPr>
        <w:t xml:space="preserve">How was the toolkit used to address an industry, </w:t>
      </w:r>
      <w:proofErr w:type="gramStart"/>
      <w:r w:rsidRPr="00154E0C">
        <w:rPr>
          <w:b/>
          <w:bCs/>
          <w:sz w:val="24"/>
          <w:szCs w:val="24"/>
        </w:rPr>
        <w:t>business</w:t>
      </w:r>
      <w:proofErr w:type="gramEnd"/>
      <w:r w:rsidRPr="00154E0C">
        <w:rPr>
          <w:b/>
          <w:bCs/>
          <w:sz w:val="24"/>
          <w:szCs w:val="24"/>
        </w:rPr>
        <w:t xml:space="preserve"> or educational need? </w:t>
      </w:r>
    </w:p>
    <w:p w14:paraId="592E11E6" w14:textId="16FE8BD5" w:rsidR="00F76E0B" w:rsidRPr="0076313A" w:rsidRDefault="00DF17B7" w:rsidP="0076313A">
      <w:pPr>
        <w:pStyle w:val="ListParagraph"/>
        <w:rPr>
          <w:sz w:val="24"/>
          <w:szCs w:val="24"/>
        </w:rPr>
      </w:pPr>
      <w:r w:rsidRPr="00F76E0B">
        <w:rPr>
          <w:sz w:val="24"/>
          <w:szCs w:val="24"/>
        </w:rPr>
        <w:t xml:space="preserve">The toolkit provided a much-needed educational resource to support a transferable skills </w:t>
      </w:r>
      <w:r w:rsidRPr="00B62E2F">
        <w:rPr>
          <w:sz w:val="24"/>
          <w:szCs w:val="24"/>
        </w:rPr>
        <w:t xml:space="preserve">module. Elements of materials in the toolkit were used as learning and delivery resources aligned to existing resources by colleagues. </w:t>
      </w:r>
    </w:p>
    <w:p w14:paraId="5FDF6350" w14:textId="404673DA" w:rsidR="00B62E2F" w:rsidRPr="0076313A" w:rsidRDefault="00F76E0B" w:rsidP="00B62E2F">
      <w:pPr>
        <w:pStyle w:val="ListParagraph"/>
        <w:rPr>
          <w:rFonts w:ascii="Calibri" w:hAnsi="Calibri" w:cs="Calibri"/>
          <w:sz w:val="24"/>
          <w:szCs w:val="24"/>
          <w:shd w:val="clear" w:color="auto" w:fill="FFFFFF"/>
        </w:rPr>
      </w:pPr>
      <w:r w:rsidRPr="0076313A">
        <w:rPr>
          <w:rFonts w:ascii="Calibri" w:hAnsi="Calibri" w:cs="Calibri"/>
          <w:sz w:val="24"/>
          <w:szCs w:val="24"/>
          <w:shd w:val="clear" w:color="auto" w:fill="FFFFFF"/>
        </w:rPr>
        <w:t xml:space="preserve">Elements of the tourism sector skills toolkit </w:t>
      </w:r>
      <w:r w:rsidR="0076313A">
        <w:rPr>
          <w:rFonts w:ascii="Calibri" w:hAnsi="Calibri" w:cs="Calibri"/>
          <w:sz w:val="24"/>
          <w:szCs w:val="24"/>
          <w:shd w:val="clear" w:color="auto" w:fill="FFFFFF"/>
        </w:rPr>
        <w:t xml:space="preserve">in the section </w:t>
      </w:r>
      <w:r w:rsidRPr="0076313A">
        <w:rPr>
          <w:rFonts w:ascii="Calibri" w:hAnsi="Calibri" w:cs="Calibri"/>
          <w:b/>
          <w:bCs/>
          <w:sz w:val="24"/>
          <w:szCs w:val="24"/>
          <w:shd w:val="clear" w:color="auto" w:fill="FFFFFF"/>
        </w:rPr>
        <w:t>developing curriculum</w:t>
      </w:r>
      <w:r w:rsidR="0076313A">
        <w:rPr>
          <w:rFonts w:ascii="Calibri" w:hAnsi="Calibri" w:cs="Calibri"/>
          <w:sz w:val="24"/>
          <w:szCs w:val="24"/>
          <w:shd w:val="clear" w:color="auto" w:fill="FFFFFF"/>
        </w:rPr>
        <w:t xml:space="preserve"> which includes</w:t>
      </w:r>
      <w:r w:rsidRPr="0076313A">
        <w:rPr>
          <w:rFonts w:ascii="Calibri" w:hAnsi="Calibri" w:cs="Calibri"/>
          <w:sz w:val="24"/>
          <w:szCs w:val="24"/>
          <w:shd w:val="clear" w:color="auto" w:fill="FFFFFF"/>
        </w:rPr>
        <w:t xml:space="preserve"> learning resources</w:t>
      </w:r>
      <w:r w:rsidR="0076313A">
        <w:rPr>
          <w:rFonts w:ascii="Calibri" w:hAnsi="Calibri" w:cs="Calibri"/>
          <w:sz w:val="24"/>
          <w:szCs w:val="24"/>
          <w:shd w:val="clear" w:color="auto" w:fill="FFFFFF"/>
        </w:rPr>
        <w:t xml:space="preserve"> and session plans</w:t>
      </w:r>
      <w:r w:rsidRPr="0076313A">
        <w:rPr>
          <w:rFonts w:ascii="Calibri" w:hAnsi="Calibri" w:cs="Calibri"/>
          <w:sz w:val="24"/>
          <w:szCs w:val="24"/>
          <w:shd w:val="clear" w:color="auto" w:fill="FFFFFF"/>
        </w:rPr>
        <w:t xml:space="preserve"> were used to support the development of a new transferable skills module for tourism/hospitality/event/leisure students.  </w:t>
      </w:r>
      <w:r w:rsidR="0076313A">
        <w:rPr>
          <w:rFonts w:ascii="Calibri" w:hAnsi="Calibri" w:cs="Calibri"/>
          <w:sz w:val="24"/>
          <w:szCs w:val="24"/>
          <w:shd w:val="clear" w:color="auto" w:fill="FFFFFF"/>
        </w:rPr>
        <w:t>This p</w:t>
      </w:r>
      <w:r w:rsidR="00B62E2F" w:rsidRPr="0076313A">
        <w:rPr>
          <w:rFonts w:ascii="Calibri" w:hAnsi="Calibri" w:cs="Calibri"/>
          <w:sz w:val="24"/>
          <w:szCs w:val="24"/>
          <w:shd w:val="clear" w:color="auto" w:fill="FFFFFF"/>
        </w:rPr>
        <w:t>art of the NTG toolkit provided information in addition to the team</w:t>
      </w:r>
      <w:r w:rsidR="0076313A">
        <w:rPr>
          <w:rFonts w:ascii="Calibri" w:hAnsi="Calibri" w:cs="Calibri"/>
          <w:sz w:val="24"/>
          <w:szCs w:val="24"/>
          <w:shd w:val="clear" w:color="auto" w:fill="FFFFFF"/>
        </w:rPr>
        <w:t>’s</w:t>
      </w:r>
      <w:r w:rsidR="00B62E2F" w:rsidRPr="0076313A">
        <w:rPr>
          <w:rFonts w:ascii="Calibri" w:hAnsi="Calibri" w:cs="Calibri"/>
          <w:sz w:val="24"/>
          <w:szCs w:val="24"/>
          <w:shd w:val="clear" w:color="auto" w:fill="FFFFFF"/>
        </w:rPr>
        <w:t xml:space="preserve"> own content.  </w:t>
      </w:r>
      <w:r w:rsidRPr="0076313A">
        <w:rPr>
          <w:rFonts w:ascii="Calibri" w:hAnsi="Calibri" w:cs="Calibri"/>
          <w:sz w:val="24"/>
          <w:szCs w:val="24"/>
          <w:shd w:val="clear" w:color="auto" w:fill="FFFFFF"/>
        </w:rPr>
        <w:t>The module focused broadly on transferable and social skills and therefore, the social skill set of session resources were useful in developing ideas/weekly topics/descriptor etc</w:t>
      </w:r>
      <w:r w:rsidR="0076313A">
        <w:rPr>
          <w:rFonts w:ascii="Calibri" w:hAnsi="Calibri" w:cs="Calibri"/>
          <w:sz w:val="24"/>
          <w:szCs w:val="24"/>
          <w:shd w:val="clear" w:color="auto" w:fill="FFFFFF"/>
        </w:rPr>
        <w:t xml:space="preserve">. </w:t>
      </w:r>
      <w:r w:rsidRPr="0076313A">
        <w:rPr>
          <w:rFonts w:ascii="Calibri" w:hAnsi="Calibri" w:cs="Calibri"/>
          <w:sz w:val="24"/>
          <w:szCs w:val="24"/>
          <w:shd w:val="clear" w:color="auto" w:fill="FFFFFF"/>
        </w:rPr>
        <w:t xml:space="preserve"> </w:t>
      </w:r>
      <w:r w:rsidR="0076313A">
        <w:rPr>
          <w:rFonts w:ascii="Calibri" w:hAnsi="Calibri" w:cs="Calibri"/>
          <w:sz w:val="24"/>
          <w:szCs w:val="24"/>
          <w:shd w:val="clear" w:color="auto" w:fill="FFFFFF"/>
        </w:rPr>
        <w:t>F</w:t>
      </w:r>
      <w:r w:rsidRPr="0076313A">
        <w:rPr>
          <w:rFonts w:ascii="Calibri" w:hAnsi="Calibri" w:cs="Calibri"/>
          <w:sz w:val="24"/>
          <w:szCs w:val="24"/>
          <w:shd w:val="clear" w:color="auto" w:fill="FFFFFF"/>
        </w:rPr>
        <w:t xml:space="preserve">or example, the NTG topic areas regarding </w:t>
      </w:r>
      <w:r w:rsidRPr="0076313A">
        <w:rPr>
          <w:rFonts w:ascii="Calibri" w:hAnsi="Calibri" w:cs="Calibri"/>
          <w:b/>
          <w:bCs/>
          <w:sz w:val="24"/>
          <w:szCs w:val="24"/>
          <w:shd w:val="clear" w:color="auto" w:fill="FFFFFF"/>
        </w:rPr>
        <w:t>cultural awareness, active listening, written and oral communication, ethical conduct and respect and problem solving</w:t>
      </w:r>
      <w:r w:rsidRPr="0076313A">
        <w:rPr>
          <w:rFonts w:ascii="Calibri" w:hAnsi="Calibri" w:cs="Calibri"/>
          <w:sz w:val="24"/>
          <w:szCs w:val="24"/>
          <w:shd w:val="clear" w:color="auto" w:fill="FFFFFF"/>
        </w:rPr>
        <w:t>.</w:t>
      </w:r>
      <w:r w:rsidR="00B62E2F" w:rsidRPr="0076313A">
        <w:rPr>
          <w:rFonts w:ascii="Calibri" w:hAnsi="Calibri" w:cs="Calibri"/>
          <w:sz w:val="24"/>
          <w:szCs w:val="24"/>
          <w:shd w:val="clear" w:color="auto" w:fill="FFFFFF"/>
        </w:rPr>
        <w:t xml:space="preserve">  </w:t>
      </w:r>
    </w:p>
    <w:p w14:paraId="3F24BA24" w14:textId="77777777" w:rsidR="00B62E2F" w:rsidRDefault="00B62E2F" w:rsidP="00B62E2F">
      <w:pPr>
        <w:pStyle w:val="ListParagraph"/>
        <w:rPr>
          <w:rFonts w:ascii="Calibri" w:hAnsi="Calibri" w:cs="Calibri"/>
          <w:color w:val="000000"/>
          <w:shd w:val="clear" w:color="auto" w:fill="FFFFFF"/>
        </w:rPr>
      </w:pPr>
    </w:p>
    <w:p w14:paraId="6A36E11A" w14:textId="41040A89" w:rsidR="00DF17B7" w:rsidRPr="0076313A" w:rsidRDefault="00DF17B7" w:rsidP="0076313A">
      <w:pPr>
        <w:pStyle w:val="ListParagraph"/>
        <w:rPr>
          <w:sz w:val="24"/>
          <w:szCs w:val="24"/>
        </w:rPr>
      </w:pPr>
      <w:r w:rsidRPr="00F76E0B">
        <w:rPr>
          <w:sz w:val="24"/>
          <w:szCs w:val="24"/>
        </w:rPr>
        <w:t xml:space="preserve">The </w:t>
      </w:r>
      <w:r w:rsidR="0076313A">
        <w:rPr>
          <w:sz w:val="24"/>
          <w:szCs w:val="24"/>
        </w:rPr>
        <w:t>transferable skills module</w:t>
      </w:r>
      <w:r w:rsidRPr="00F76E0B">
        <w:rPr>
          <w:sz w:val="24"/>
          <w:szCs w:val="24"/>
        </w:rPr>
        <w:t xml:space="preserve"> took place in semester 2 (S2) of academic year 2020/2021. The Transferable </w:t>
      </w:r>
      <w:r w:rsidRPr="00B62E2F">
        <w:rPr>
          <w:sz w:val="24"/>
          <w:szCs w:val="24"/>
        </w:rPr>
        <w:t xml:space="preserve">Skills module was developed as part of a Work Placement alternative, </w:t>
      </w:r>
      <w:r w:rsidR="0076313A">
        <w:rPr>
          <w:sz w:val="24"/>
          <w:szCs w:val="24"/>
        </w:rPr>
        <w:t xml:space="preserve">which </w:t>
      </w:r>
      <w:r w:rsidR="0076313A" w:rsidRPr="00B62E2F">
        <w:rPr>
          <w:sz w:val="24"/>
          <w:szCs w:val="24"/>
        </w:rPr>
        <w:t xml:space="preserve">emerged </w:t>
      </w:r>
      <w:proofErr w:type="gramStart"/>
      <w:r w:rsidR="0076313A" w:rsidRPr="00B62E2F">
        <w:rPr>
          <w:sz w:val="24"/>
          <w:szCs w:val="24"/>
        </w:rPr>
        <w:t>as a result of</w:t>
      </w:r>
      <w:proofErr w:type="gramEnd"/>
      <w:r w:rsidR="0076313A" w:rsidRPr="00B62E2F">
        <w:rPr>
          <w:sz w:val="24"/>
          <w:szCs w:val="24"/>
        </w:rPr>
        <w:t xml:space="preserve"> the COVID-19 pandemic</w:t>
      </w:r>
      <w:r w:rsidR="0076313A">
        <w:rPr>
          <w:sz w:val="24"/>
          <w:szCs w:val="24"/>
        </w:rPr>
        <w:t>.  The Work Placement alternative also</w:t>
      </w:r>
      <w:r w:rsidRPr="0076313A">
        <w:rPr>
          <w:sz w:val="24"/>
          <w:szCs w:val="24"/>
        </w:rPr>
        <w:t xml:space="preserve"> included modules on Wellness and Industry Seminars. </w:t>
      </w:r>
    </w:p>
    <w:p w14:paraId="61A2E95C" w14:textId="77777777" w:rsidR="00DF17B7" w:rsidRPr="00F76E0B" w:rsidRDefault="00DF17B7" w:rsidP="00B62E2F">
      <w:pPr>
        <w:pStyle w:val="ListParagraph"/>
        <w:rPr>
          <w:sz w:val="24"/>
          <w:szCs w:val="24"/>
        </w:rPr>
      </w:pPr>
    </w:p>
    <w:p w14:paraId="27FFF856" w14:textId="21E6B2EB" w:rsidR="00DF17B7" w:rsidRPr="00F76E0B" w:rsidRDefault="00DF17B7" w:rsidP="00B62E2F">
      <w:pPr>
        <w:pStyle w:val="ListParagraph"/>
        <w:numPr>
          <w:ilvl w:val="0"/>
          <w:numId w:val="1"/>
        </w:numPr>
        <w:rPr>
          <w:b/>
          <w:bCs/>
          <w:sz w:val="24"/>
          <w:szCs w:val="24"/>
        </w:rPr>
      </w:pPr>
      <w:r w:rsidRPr="00F76E0B">
        <w:rPr>
          <w:b/>
          <w:bCs/>
          <w:sz w:val="24"/>
          <w:szCs w:val="24"/>
        </w:rPr>
        <w:t xml:space="preserve">Were partner organisations involved and if so, who? </w:t>
      </w:r>
    </w:p>
    <w:p w14:paraId="392A3B1C" w14:textId="61B3B98D" w:rsidR="00DF17B7" w:rsidRPr="00F76E0B" w:rsidRDefault="00DF17B7" w:rsidP="00B62E2F">
      <w:pPr>
        <w:pStyle w:val="ListParagraph"/>
        <w:rPr>
          <w:sz w:val="24"/>
          <w:szCs w:val="24"/>
        </w:rPr>
      </w:pPr>
      <w:r w:rsidRPr="00F76E0B">
        <w:rPr>
          <w:sz w:val="24"/>
          <w:szCs w:val="24"/>
        </w:rPr>
        <w:t xml:space="preserve">No partner organisations were involved. </w:t>
      </w:r>
    </w:p>
    <w:p w14:paraId="3A000BA8" w14:textId="77777777" w:rsidR="00DF17B7" w:rsidRPr="00F76E0B" w:rsidRDefault="00DF17B7" w:rsidP="00B62E2F">
      <w:pPr>
        <w:pStyle w:val="ListParagraph"/>
        <w:rPr>
          <w:sz w:val="24"/>
          <w:szCs w:val="24"/>
        </w:rPr>
      </w:pPr>
    </w:p>
    <w:p w14:paraId="7FC1F8B2" w14:textId="4F6EC3D1" w:rsidR="00DF17B7" w:rsidRPr="00F76E0B" w:rsidRDefault="00DF17B7" w:rsidP="00B62E2F">
      <w:pPr>
        <w:pStyle w:val="ListParagraph"/>
        <w:numPr>
          <w:ilvl w:val="0"/>
          <w:numId w:val="1"/>
        </w:numPr>
        <w:rPr>
          <w:b/>
          <w:bCs/>
          <w:sz w:val="24"/>
          <w:szCs w:val="24"/>
        </w:rPr>
      </w:pPr>
      <w:r w:rsidRPr="00F76E0B">
        <w:rPr>
          <w:b/>
          <w:bCs/>
          <w:sz w:val="24"/>
          <w:szCs w:val="24"/>
        </w:rPr>
        <w:t xml:space="preserve">What benefits resulted from use of the toolkit? </w:t>
      </w:r>
    </w:p>
    <w:p w14:paraId="2DC18591" w14:textId="4B57DB2E" w:rsidR="00DF17B7" w:rsidRPr="00B62E2F" w:rsidRDefault="00DF17B7" w:rsidP="00B62E2F">
      <w:pPr>
        <w:pStyle w:val="ListParagraph"/>
        <w:rPr>
          <w:sz w:val="24"/>
          <w:szCs w:val="24"/>
        </w:rPr>
      </w:pPr>
      <w:r w:rsidRPr="00F76E0B">
        <w:rPr>
          <w:sz w:val="24"/>
          <w:szCs w:val="24"/>
        </w:rPr>
        <w:t xml:space="preserve">The toolkit as a resource shortened the preparation time prior to delivery and potentially </w:t>
      </w:r>
      <w:r w:rsidRPr="00B62E2F">
        <w:rPr>
          <w:sz w:val="24"/>
          <w:szCs w:val="24"/>
        </w:rPr>
        <w:t xml:space="preserve">allows the replication of the same by different colleagues delivering modules in the future. Breadth in the toolkit is important to facilitate as many </w:t>
      </w:r>
      <w:r w:rsidR="0049061E" w:rsidRPr="00B62E2F">
        <w:rPr>
          <w:sz w:val="24"/>
          <w:szCs w:val="24"/>
        </w:rPr>
        <w:t>colleagues’ as possible</w:t>
      </w:r>
      <w:r w:rsidRPr="00B62E2F">
        <w:rPr>
          <w:sz w:val="24"/>
          <w:szCs w:val="24"/>
        </w:rPr>
        <w:t xml:space="preserve"> use of the resources within it. </w:t>
      </w:r>
    </w:p>
    <w:p w14:paraId="1BA33A7A" w14:textId="0D42449D" w:rsidR="00DF17B7" w:rsidRPr="00B62E2F" w:rsidRDefault="00DF17B7" w:rsidP="00B62E2F">
      <w:pPr>
        <w:pStyle w:val="ListParagraph"/>
        <w:rPr>
          <w:sz w:val="24"/>
          <w:szCs w:val="24"/>
        </w:rPr>
      </w:pPr>
      <w:r w:rsidRPr="00F76E0B">
        <w:rPr>
          <w:sz w:val="24"/>
          <w:szCs w:val="24"/>
        </w:rPr>
        <w:t>Exposure to the toolkit was beneficial as, even though much of the material was not used</w:t>
      </w:r>
      <w:r w:rsidR="00B62E2F">
        <w:rPr>
          <w:sz w:val="24"/>
          <w:szCs w:val="24"/>
        </w:rPr>
        <w:t xml:space="preserve"> </w:t>
      </w:r>
      <w:r w:rsidRPr="00B62E2F">
        <w:rPr>
          <w:sz w:val="24"/>
          <w:szCs w:val="24"/>
        </w:rPr>
        <w:t>for the transferable skills module, colleagues now have an awareness of the range of resources available. These may be used in conjunction with other materials to support</w:t>
      </w:r>
      <w:r w:rsidR="00B62E2F">
        <w:rPr>
          <w:sz w:val="24"/>
          <w:szCs w:val="24"/>
        </w:rPr>
        <w:t xml:space="preserve"> </w:t>
      </w:r>
      <w:r w:rsidRPr="00B62E2F">
        <w:rPr>
          <w:sz w:val="24"/>
          <w:szCs w:val="24"/>
        </w:rPr>
        <w:t xml:space="preserve">future module planning. </w:t>
      </w:r>
    </w:p>
    <w:p w14:paraId="0A31711F" w14:textId="6A06DEEA" w:rsidR="00DF17B7" w:rsidRPr="00B62E2F" w:rsidRDefault="00DF17B7" w:rsidP="00B62E2F">
      <w:pPr>
        <w:pStyle w:val="ListParagraph"/>
        <w:rPr>
          <w:sz w:val="24"/>
          <w:szCs w:val="24"/>
        </w:rPr>
      </w:pPr>
      <w:r w:rsidRPr="00F76E0B">
        <w:rPr>
          <w:sz w:val="24"/>
          <w:szCs w:val="24"/>
        </w:rPr>
        <w:t>Having an opportunity to engage with the toolkit was beneficial – these benefits included</w:t>
      </w:r>
      <w:r w:rsidR="00B62E2F">
        <w:rPr>
          <w:sz w:val="24"/>
          <w:szCs w:val="24"/>
        </w:rPr>
        <w:t xml:space="preserve"> </w:t>
      </w:r>
      <w:r w:rsidRPr="00B62E2F">
        <w:rPr>
          <w:sz w:val="24"/>
          <w:szCs w:val="24"/>
        </w:rPr>
        <w:t>exposure to the suite of resources and developing a deeper understanding of the NTG</w:t>
      </w:r>
      <w:r w:rsidR="00B62E2F">
        <w:rPr>
          <w:sz w:val="24"/>
          <w:szCs w:val="24"/>
        </w:rPr>
        <w:t xml:space="preserve"> </w:t>
      </w:r>
      <w:r w:rsidRPr="00B62E2F">
        <w:rPr>
          <w:sz w:val="24"/>
          <w:szCs w:val="24"/>
        </w:rPr>
        <w:t xml:space="preserve">project. </w:t>
      </w:r>
    </w:p>
    <w:p w14:paraId="2EA70EFE" w14:textId="77777777" w:rsidR="00DF17B7" w:rsidRPr="00F76E0B" w:rsidRDefault="00DF17B7" w:rsidP="00B62E2F">
      <w:pPr>
        <w:pStyle w:val="ListParagraph"/>
        <w:rPr>
          <w:sz w:val="24"/>
          <w:szCs w:val="24"/>
        </w:rPr>
      </w:pPr>
    </w:p>
    <w:p w14:paraId="0DE1EC28" w14:textId="2F2D84F0" w:rsidR="00DF17B7" w:rsidRPr="00F76E0B" w:rsidRDefault="00DF17B7" w:rsidP="00B62E2F">
      <w:pPr>
        <w:pStyle w:val="ListParagraph"/>
        <w:numPr>
          <w:ilvl w:val="0"/>
          <w:numId w:val="1"/>
        </w:numPr>
        <w:rPr>
          <w:b/>
          <w:bCs/>
          <w:sz w:val="24"/>
          <w:szCs w:val="24"/>
        </w:rPr>
      </w:pPr>
      <w:r w:rsidRPr="00F76E0B">
        <w:rPr>
          <w:b/>
          <w:bCs/>
          <w:sz w:val="24"/>
          <w:szCs w:val="24"/>
        </w:rPr>
        <w:t xml:space="preserve">Were there any challenges or lessons learnt using the toolkit? </w:t>
      </w:r>
    </w:p>
    <w:p w14:paraId="71EEFFAC" w14:textId="0DE04C62" w:rsidR="00DF17B7" w:rsidRPr="00B62E2F" w:rsidRDefault="00DF17B7" w:rsidP="00B62E2F">
      <w:pPr>
        <w:pStyle w:val="ListParagraph"/>
        <w:rPr>
          <w:sz w:val="24"/>
          <w:szCs w:val="24"/>
        </w:rPr>
      </w:pPr>
      <w:r w:rsidRPr="00F76E0B">
        <w:rPr>
          <w:sz w:val="24"/>
          <w:szCs w:val="24"/>
        </w:rPr>
        <w:t xml:space="preserve">Navigation of the website was challenging. There are a lot of resources available, however </w:t>
      </w:r>
      <w:r w:rsidRPr="00B62E2F">
        <w:rPr>
          <w:sz w:val="24"/>
          <w:szCs w:val="24"/>
        </w:rPr>
        <w:t xml:space="preserve">having a clearer overview and map of these resources could enhance the user experience. </w:t>
      </w:r>
    </w:p>
    <w:p w14:paraId="02F2440D" w14:textId="3795E0CC" w:rsidR="001F320C" w:rsidRPr="00B62E2F" w:rsidRDefault="00DF17B7" w:rsidP="00B62E2F">
      <w:pPr>
        <w:pStyle w:val="ListParagraph"/>
        <w:rPr>
          <w:sz w:val="24"/>
          <w:szCs w:val="24"/>
        </w:rPr>
      </w:pPr>
      <w:r w:rsidRPr="00F76E0B">
        <w:rPr>
          <w:sz w:val="24"/>
          <w:szCs w:val="24"/>
        </w:rPr>
        <w:t xml:space="preserve">The navigation challenges noted above impacted engagement with the resources. A </w:t>
      </w:r>
      <w:r w:rsidRPr="00B62E2F">
        <w:rPr>
          <w:sz w:val="24"/>
          <w:szCs w:val="24"/>
        </w:rPr>
        <w:t xml:space="preserve">takeaway here would be that engaging with the toolkit, and appreciating the suite of resources available, requires a significant investment of time. </w:t>
      </w:r>
    </w:p>
    <w:p w14:paraId="55E9DCA1" w14:textId="576FF4BE" w:rsidR="00DF17B7" w:rsidRPr="00B62E2F" w:rsidRDefault="00DF17B7" w:rsidP="00B62E2F">
      <w:pPr>
        <w:pStyle w:val="ListParagraph"/>
        <w:rPr>
          <w:sz w:val="24"/>
          <w:szCs w:val="24"/>
        </w:rPr>
      </w:pPr>
      <w:r w:rsidRPr="00F76E0B">
        <w:rPr>
          <w:sz w:val="24"/>
          <w:szCs w:val="24"/>
        </w:rPr>
        <w:t>For some colleagues, a takeaway lesson was that the toolkit could potentially be used to</w:t>
      </w:r>
      <w:r w:rsidR="00B62E2F">
        <w:rPr>
          <w:sz w:val="24"/>
          <w:szCs w:val="24"/>
        </w:rPr>
        <w:t xml:space="preserve"> </w:t>
      </w:r>
      <w:r w:rsidRPr="00B62E2F">
        <w:rPr>
          <w:sz w:val="24"/>
          <w:szCs w:val="24"/>
        </w:rPr>
        <w:t>support future module planning and development (for modules other than the</w:t>
      </w:r>
      <w:r w:rsidR="00B62E2F">
        <w:rPr>
          <w:sz w:val="24"/>
          <w:szCs w:val="24"/>
        </w:rPr>
        <w:t xml:space="preserve"> </w:t>
      </w:r>
      <w:r w:rsidRPr="00B62E2F">
        <w:rPr>
          <w:sz w:val="24"/>
          <w:szCs w:val="24"/>
        </w:rPr>
        <w:t>Transferable Skills Work Placement alternative). It would be envisioned that the toolkit resources may then be used to complement colleagues' additional module resources, as</w:t>
      </w:r>
      <w:r w:rsidR="00B62E2F">
        <w:rPr>
          <w:sz w:val="24"/>
          <w:szCs w:val="24"/>
        </w:rPr>
        <w:t xml:space="preserve"> </w:t>
      </w:r>
      <w:r w:rsidRPr="00B62E2F">
        <w:rPr>
          <w:sz w:val="24"/>
          <w:szCs w:val="24"/>
        </w:rPr>
        <w:t xml:space="preserve">opposed to replacing them. </w:t>
      </w:r>
    </w:p>
    <w:p w14:paraId="292A47F2" w14:textId="77777777" w:rsidR="001F320C" w:rsidRPr="00F76E0B" w:rsidRDefault="001F320C" w:rsidP="00B62E2F">
      <w:pPr>
        <w:pStyle w:val="ListParagraph"/>
        <w:rPr>
          <w:sz w:val="24"/>
          <w:szCs w:val="24"/>
        </w:rPr>
      </w:pPr>
    </w:p>
    <w:p w14:paraId="628EF3A2" w14:textId="21256D2A" w:rsidR="001F320C" w:rsidRPr="00F76E0B" w:rsidRDefault="00DF17B7" w:rsidP="00B62E2F">
      <w:pPr>
        <w:pStyle w:val="ListParagraph"/>
        <w:numPr>
          <w:ilvl w:val="0"/>
          <w:numId w:val="1"/>
        </w:numPr>
        <w:rPr>
          <w:b/>
          <w:bCs/>
          <w:sz w:val="24"/>
          <w:szCs w:val="24"/>
        </w:rPr>
      </w:pPr>
      <w:r w:rsidRPr="00F76E0B">
        <w:rPr>
          <w:b/>
          <w:bCs/>
          <w:sz w:val="24"/>
          <w:szCs w:val="24"/>
        </w:rPr>
        <w:t xml:space="preserve">Have you any further reflections and/or recommendations? </w:t>
      </w:r>
    </w:p>
    <w:p w14:paraId="283854E1" w14:textId="74701913" w:rsidR="001F320C" w:rsidRPr="00B62E2F" w:rsidRDefault="00DF17B7" w:rsidP="00B62E2F">
      <w:pPr>
        <w:pStyle w:val="ListParagraph"/>
        <w:rPr>
          <w:sz w:val="24"/>
          <w:szCs w:val="24"/>
        </w:rPr>
      </w:pPr>
      <w:r w:rsidRPr="00F76E0B">
        <w:rPr>
          <w:sz w:val="24"/>
          <w:szCs w:val="24"/>
        </w:rPr>
        <w:t>The preparation of materials for delivery is very individual for colleagues</w:t>
      </w:r>
      <w:r w:rsidR="00B62E2F">
        <w:rPr>
          <w:sz w:val="24"/>
          <w:szCs w:val="24"/>
        </w:rPr>
        <w:t xml:space="preserve">.  </w:t>
      </w:r>
      <w:r w:rsidRPr="00F76E0B">
        <w:rPr>
          <w:sz w:val="24"/>
          <w:szCs w:val="24"/>
        </w:rPr>
        <w:t>Therefore, it is</w:t>
      </w:r>
      <w:r w:rsidR="00B62E2F">
        <w:rPr>
          <w:sz w:val="24"/>
          <w:szCs w:val="24"/>
        </w:rPr>
        <w:t xml:space="preserve"> </w:t>
      </w:r>
      <w:r w:rsidRPr="00B62E2F">
        <w:rPr>
          <w:sz w:val="24"/>
          <w:szCs w:val="24"/>
        </w:rPr>
        <w:t>unlikely that colleagues using the toolkit will follow a session (a set of materials) from the</w:t>
      </w:r>
      <w:r w:rsidR="00B62E2F">
        <w:rPr>
          <w:sz w:val="24"/>
          <w:szCs w:val="24"/>
        </w:rPr>
        <w:t xml:space="preserve"> </w:t>
      </w:r>
      <w:r w:rsidRPr="00B62E2F">
        <w:rPr>
          <w:sz w:val="24"/>
          <w:szCs w:val="24"/>
        </w:rPr>
        <w:t xml:space="preserve">beginning to the end. Therefore, it is recommended that for any future work in this area, the toolkit would be further enhanced with greater efforts on the platform and navigation itself. But overall, a great support! </w:t>
      </w:r>
    </w:p>
    <w:p w14:paraId="39FCEA02" w14:textId="20CEC48E" w:rsidR="001F320C" w:rsidRPr="00B62E2F" w:rsidRDefault="00DF17B7" w:rsidP="00B62E2F">
      <w:pPr>
        <w:pStyle w:val="ListParagraph"/>
        <w:rPr>
          <w:sz w:val="24"/>
          <w:szCs w:val="24"/>
        </w:rPr>
      </w:pPr>
      <w:r w:rsidRPr="00F76E0B">
        <w:rPr>
          <w:sz w:val="24"/>
          <w:szCs w:val="24"/>
        </w:rPr>
        <w:t xml:space="preserve">Exploring the toolkit with a specific module in mind was beneficial. Users could navigate </w:t>
      </w:r>
      <w:r w:rsidRPr="00B62E2F">
        <w:rPr>
          <w:sz w:val="24"/>
          <w:szCs w:val="24"/>
        </w:rPr>
        <w:t>the resources and make decisions and/ or use-cases based on their specific module elements and requirements. Exploring the toolkit in this way allowed some colleagues to</w:t>
      </w:r>
      <w:r w:rsidR="00B62E2F">
        <w:rPr>
          <w:sz w:val="24"/>
          <w:szCs w:val="24"/>
        </w:rPr>
        <w:t xml:space="preserve"> </w:t>
      </w:r>
      <w:r w:rsidRPr="00B62E2F">
        <w:rPr>
          <w:sz w:val="24"/>
          <w:szCs w:val="24"/>
        </w:rPr>
        <w:t xml:space="preserve">remain focused in their module development research. </w:t>
      </w:r>
    </w:p>
    <w:p w14:paraId="3887187D" w14:textId="7A2AC7B2" w:rsidR="001F320C" w:rsidRPr="00B62E2F" w:rsidRDefault="00DF17B7" w:rsidP="00B62E2F">
      <w:pPr>
        <w:pStyle w:val="ListParagraph"/>
        <w:rPr>
          <w:sz w:val="24"/>
          <w:szCs w:val="24"/>
        </w:rPr>
      </w:pPr>
      <w:r w:rsidRPr="00F76E0B">
        <w:rPr>
          <w:sz w:val="24"/>
          <w:szCs w:val="24"/>
        </w:rPr>
        <w:t>In addition to the above, should resources and project scope allow, the toolkit could be</w:t>
      </w:r>
      <w:r w:rsidR="00B62E2F">
        <w:rPr>
          <w:sz w:val="24"/>
          <w:szCs w:val="24"/>
        </w:rPr>
        <w:t xml:space="preserve"> </w:t>
      </w:r>
      <w:r w:rsidRPr="00B62E2F">
        <w:rPr>
          <w:sz w:val="24"/>
          <w:szCs w:val="24"/>
        </w:rPr>
        <w:t xml:space="preserve">enhanced by inclusion of increased search capabilities and upgraded website. </w:t>
      </w:r>
    </w:p>
    <w:p w14:paraId="6AD1C939" w14:textId="7E60EF68" w:rsidR="00DF17B7" w:rsidRPr="00B62E2F" w:rsidRDefault="0049061E" w:rsidP="00B62E2F">
      <w:pPr>
        <w:pStyle w:val="ListParagraph"/>
        <w:rPr>
          <w:sz w:val="24"/>
          <w:szCs w:val="24"/>
        </w:rPr>
      </w:pPr>
      <w:r>
        <w:rPr>
          <w:sz w:val="24"/>
          <w:szCs w:val="24"/>
        </w:rPr>
        <w:t>“</w:t>
      </w:r>
      <w:r w:rsidR="00DF17B7" w:rsidRPr="0049061E">
        <w:rPr>
          <w:i/>
          <w:iCs/>
          <w:sz w:val="24"/>
          <w:szCs w:val="24"/>
        </w:rPr>
        <w:t xml:space="preserve">Thank you for sharing the toolkit. </w:t>
      </w:r>
      <w:proofErr w:type="gramStart"/>
      <w:r w:rsidR="00DF17B7" w:rsidRPr="0049061E">
        <w:rPr>
          <w:i/>
          <w:iCs/>
          <w:sz w:val="24"/>
          <w:szCs w:val="24"/>
        </w:rPr>
        <w:t>Well</w:t>
      </w:r>
      <w:proofErr w:type="gramEnd"/>
      <w:r w:rsidR="00DF17B7" w:rsidRPr="0049061E">
        <w:rPr>
          <w:i/>
          <w:iCs/>
          <w:sz w:val="24"/>
          <w:szCs w:val="24"/>
        </w:rPr>
        <w:t xml:space="preserve"> done to colleagues and the wider NTG Team on all that you have achieved so far with this project. Wishing you continued success</w:t>
      </w:r>
      <w:r>
        <w:rPr>
          <w:sz w:val="24"/>
          <w:szCs w:val="24"/>
        </w:rPr>
        <w:t>”</w:t>
      </w:r>
      <w:r w:rsidR="001F320C" w:rsidRPr="00B62E2F">
        <w:rPr>
          <w:sz w:val="24"/>
          <w:szCs w:val="24"/>
        </w:rPr>
        <w:t>.</w:t>
      </w:r>
    </w:p>
    <w:sectPr w:rsidR="00DF17B7" w:rsidRPr="00B62E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36D0B"/>
    <w:multiLevelType w:val="hybridMultilevel"/>
    <w:tmpl w:val="34A86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F7112"/>
    <w:multiLevelType w:val="hybridMultilevel"/>
    <w:tmpl w:val="9E443F52"/>
    <w:lvl w:ilvl="0" w:tplc="FF7CFF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7B7"/>
    <w:rsid w:val="00090D2D"/>
    <w:rsid w:val="000B54F7"/>
    <w:rsid w:val="00150268"/>
    <w:rsid w:val="00154E0C"/>
    <w:rsid w:val="001F320C"/>
    <w:rsid w:val="002D54D3"/>
    <w:rsid w:val="0035650E"/>
    <w:rsid w:val="00403F8A"/>
    <w:rsid w:val="0049061E"/>
    <w:rsid w:val="00501A54"/>
    <w:rsid w:val="005651CA"/>
    <w:rsid w:val="0076313A"/>
    <w:rsid w:val="00965622"/>
    <w:rsid w:val="00B62E2F"/>
    <w:rsid w:val="00DF17B7"/>
    <w:rsid w:val="00F76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72DB5"/>
  <w15:chartTrackingRefBased/>
  <w15:docId w15:val="{02D7F686-D94A-40AE-B25F-96C4F00E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7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054501">
      <w:bodyDiv w:val="1"/>
      <w:marLeft w:val="0"/>
      <w:marRight w:val="0"/>
      <w:marTop w:val="0"/>
      <w:marBottom w:val="0"/>
      <w:divBdr>
        <w:top w:val="none" w:sz="0" w:space="0" w:color="auto"/>
        <w:left w:val="none" w:sz="0" w:space="0" w:color="auto"/>
        <w:bottom w:val="none" w:sz="0" w:space="0" w:color="auto"/>
        <w:right w:val="none" w:sz="0" w:space="0" w:color="auto"/>
      </w:divBdr>
      <w:divsChild>
        <w:div w:id="1931234958">
          <w:marLeft w:val="0"/>
          <w:marRight w:val="0"/>
          <w:marTop w:val="0"/>
          <w:marBottom w:val="0"/>
          <w:divBdr>
            <w:top w:val="none" w:sz="0" w:space="0" w:color="auto"/>
            <w:left w:val="none" w:sz="0" w:space="0" w:color="auto"/>
            <w:bottom w:val="none" w:sz="0" w:space="0" w:color="auto"/>
            <w:right w:val="none" w:sz="0" w:space="0" w:color="auto"/>
          </w:divBdr>
          <w:divsChild>
            <w:div w:id="1424306093">
              <w:marLeft w:val="0"/>
              <w:marRight w:val="0"/>
              <w:marTop w:val="0"/>
              <w:marBottom w:val="0"/>
              <w:divBdr>
                <w:top w:val="none" w:sz="0" w:space="0" w:color="auto"/>
                <w:left w:val="none" w:sz="0" w:space="0" w:color="auto"/>
                <w:bottom w:val="none" w:sz="0" w:space="0" w:color="auto"/>
                <w:right w:val="none" w:sz="0" w:space="0" w:color="auto"/>
              </w:divBdr>
            </w:div>
            <w:div w:id="556092934">
              <w:marLeft w:val="0"/>
              <w:marRight w:val="0"/>
              <w:marTop w:val="0"/>
              <w:marBottom w:val="0"/>
              <w:divBdr>
                <w:top w:val="none" w:sz="0" w:space="0" w:color="auto"/>
                <w:left w:val="none" w:sz="0" w:space="0" w:color="auto"/>
                <w:bottom w:val="none" w:sz="0" w:space="0" w:color="auto"/>
                <w:right w:val="none" w:sz="0" w:space="0" w:color="auto"/>
              </w:divBdr>
            </w:div>
            <w:div w:id="1275408293">
              <w:marLeft w:val="0"/>
              <w:marRight w:val="0"/>
              <w:marTop w:val="0"/>
              <w:marBottom w:val="0"/>
              <w:divBdr>
                <w:top w:val="none" w:sz="0" w:space="0" w:color="auto"/>
                <w:left w:val="none" w:sz="0" w:space="0" w:color="auto"/>
                <w:bottom w:val="none" w:sz="0" w:space="0" w:color="auto"/>
                <w:right w:val="none" w:sz="0" w:space="0" w:color="auto"/>
              </w:divBdr>
            </w:div>
          </w:divsChild>
        </w:div>
        <w:div w:id="1066562246">
          <w:marLeft w:val="0"/>
          <w:marRight w:val="0"/>
          <w:marTop w:val="0"/>
          <w:marBottom w:val="0"/>
          <w:divBdr>
            <w:top w:val="none" w:sz="0" w:space="0" w:color="auto"/>
            <w:left w:val="none" w:sz="0" w:space="0" w:color="auto"/>
            <w:bottom w:val="none" w:sz="0" w:space="0" w:color="auto"/>
            <w:right w:val="none" w:sz="0" w:space="0" w:color="auto"/>
          </w:divBdr>
        </w:div>
        <w:div w:id="876816402">
          <w:marLeft w:val="0"/>
          <w:marRight w:val="0"/>
          <w:marTop w:val="0"/>
          <w:marBottom w:val="0"/>
          <w:divBdr>
            <w:top w:val="none" w:sz="0" w:space="0" w:color="auto"/>
            <w:left w:val="none" w:sz="0" w:space="0" w:color="auto"/>
            <w:bottom w:val="none" w:sz="0" w:space="0" w:color="auto"/>
            <w:right w:val="none" w:sz="0" w:space="0" w:color="auto"/>
          </w:divBdr>
        </w:div>
        <w:div w:id="1530341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Diana</dc:creator>
  <cp:keywords/>
  <dc:description/>
  <cp:lastModifiedBy>Carlisle, Sheena</cp:lastModifiedBy>
  <cp:revision>4</cp:revision>
  <dcterms:created xsi:type="dcterms:W3CDTF">2022-05-11T07:21:00Z</dcterms:created>
  <dcterms:modified xsi:type="dcterms:W3CDTF">2022-05-16T12:25:00Z</dcterms:modified>
</cp:coreProperties>
</file>